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12" w:rsidRDefault="00062512" w:rsidP="00062512">
      <w:pPr>
        <w:spacing w:before="120" w:line="240" w:lineRule="auto"/>
        <w:jc w:val="center"/>
        <w:rPr>
          <w:rFonts w:cs="Arial"/>
          <w:b/>
          <w:color w:val="17365D"/>
          <w:szCs w:val="20"/>
        </w:rPr>
      </w:pPr>
      <w:r>
        <w:rPr>
          <w:rFonts w:cs="Arial"/>
          <w:b/>
          <w:color w:val="17365D"/>
          <w:szCs w:val="20"/>
        </w:rPr>
        <w:t xml:space="preserve">DRUGU GODINU ZA REDOM </w:t>
      </w:r>
      <w:r w:rsidR="00207157">
        <w:rPr>
          <w:rFonts w:cs="Arial"/>
          <w:b/>
          <w:color w:val="17365D"/>
          <w:szCs w:val="20"/>
        </w:rPr>
        <w:t>PODUZETNICI</w:t>
      </w:r>
      <w:r w:rsidR="007810BB">
        <w:rPr>
          <w:rFonts w:cs="Arial"/>
          <w:b/>
          <w:color w:val="17365D"/>
          <w:szCs w:val="20"/>
        </w:rPr>
        <w:t xml:space="preserve"> U TRGOVIN</w:t>
      </w:r>
      <w:r>
        <w:rPr>
          <w:rFonts w:cs="Arial"/>
          <w:b/>
          <w:color w:val="17365D"/>
          <w:szCs w:val="20"/>
        </w:rPr>
        <w:t>I</w:t>
      </w:r>
      <w:r w:rsidR="007810BB">
        <w:rPr>
          <w:rFonts w:cs="Arial"/>
          <w:b/>
          <w:color w:val="17365D"/>
          <w:szCs w:val="20"/>
        </w:rPr>
        <w:t xml:space="preserve"> NA MALO IGRAMA I IGRAČKAMA</w:t>
      </w:r>
    </w:p>
    <w:p w:rsidR="007810BB" w:rsidRDefault="00207157" w:rsidP="00062512">
      <w:pPr>
        <w:spacing w:line="240" w:lineRule="auto"/>
        <w:jc w:val="center"/>
      </w:pPr>
      <w:r>
        <w:rPr>
          <w:rFonts w:cs="Arial"/>
          <w:b/>
          <w:color w:val="17365D"/>
          <w:szCs w:val="20"/>
        </w:rPr>
        <w:t>OSTVARILI NETO DOBIT</w:t>
      </w:r>
    </w:p>
    <w:p w:rsidR="007810BB" w:rsidRPr="000B6FC4" w:rsidRDefault="007810BB" w:rsidP="007810BB">
      <w:pPr>
        <w:spacing w:before="120"/>
        <w:rPr>
          <w:rFonts w:cs="Arial"/>
          <w:color w:val="17365D" w:themeColor="text2" w:themeShade="BF"/>
          <w:szCs w:val="20"/>
        </w:rPr>
      </w:pPr>
      <w:r w:rsidRPr="000B6FC4">
        <w:rPr>
          <w:rFonts w:cs="Arial"/>
          <w:color w:val="17365D" w:themeColor="text2" w:themeShade="BF"/>
          <w:szCs w:val="20"/>
          <w:lang w:eastAsia="hr-HR"/>
        </w:rPr>
        <w:t>Prema podacima iz obrađenih godišnjih</w:t>
      </w:r>
      <w:r w:rsidR="000B6FC4" w:rsidRPr="000B6FC4">
        <w:rPr>
          <w:rFonts w:cs="Arial"/>
          <w:color w:val="17365D" w:themeColor="text2" w:themeShade="BF"/>
          <w:szCs w:val="20"/>
          <w:lang w:eastAsia="hr-HR"/>
        </w:rPr>
        <w:t xml:space="preserve"> financijskih izvještaja, u 2016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. godini, u razredu djelatnosti </w:t>
      </w:r>
      <w:r w:rsidR="000B6FC4" w:rsidRPr="000B6FC4">
        <w:rPr>
          <w:rFonts w:cs="Arial"/>
          <w:color w:val="17365D" w:themeColor="text2" w:themeShade="BF"/>
          <w:szCs w:val="20"/>
          <w:lang w:eastAsia="hr-HR"/>
        </w:rPr>
        <w:t>trgovina na malo igrama i igračkama u specijaliziranim prodavaonicama (NKD 47.65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), </w:t>
      </w:r>
      <w:r w:rsidR="005C1E23">
        <w:rPr>
          <w:rFonts w:cs="Arial"/>
          <w:color w:val="17365D" w:themeColor="text2" w:themeShade="BF"/>
          <w:szCs w:val="20"/>
          <w:lang w:eastAsia="hr-HR"/>
        </w:rPr>
        <w:t>bilo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 je </w:t>
      </w:r>
      <w:r w:rsidR="000B6FC4" w:rsidRPr="000B6FC4">
        <w:rPr>
          <w:rFonts w:cs="Arial"/>
          <w:color w:val="17365D" w:themeColor="text2" w:themeShade="BF"/>
          <w:szCs w:val="20"/>
          <w:lang w:eastAsia="hr-HR"/>
        </w:rPr>
        <w:t>27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 poduzetnik</w:t>
      </w:r>
      <w:r w:rsidR="000B6FC4" w:rsidRPr="000B6FC4">
        <w:rPr>
          <w:rFonts w:cs="Arial"/>
          <w:color w:val="17365D" w:themeColor="text2" w:themeShade="BF"/>
          <w:szCs w:val="20"/>
          <w:lang w:eastAsia="hr-HR"/>
        </w:rPr>
        <w:t>a</w:t>
      </w:r>
      <w:r w:rsidR="005C1E23">
        <w:rPr>
          <w:rFonts w:cs="Arial"/>
          <w:color w:val="17365D" w:themeColor="text2" w:themeShade="BF"/>
          <w:szCs w:val="20"/>
          <w:lang w:eastAsia="hr-HR"/>
        </w:rPr>
        <w:t>, a od ukupnog broja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, njih </w:t>
      </w:r>
      <w:r w:rsidR="000B6FC4" w:rsidRPr="000B6FC4">
        <w:rPr>
          <w:rFonts w:cs="Arial"/>
          <w:color w:val="17365D" w:themeColor="text2" w:themeShade="BF"/>
          <w:szCs w:val="20"/>
          <w:lang w:eastAsia="hr-HR"/>
        </w:rPr>
        <w:t>14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 ili </w:t>
      </w:r>
      <w:r w:rsidR="000B6FC4" w:rsidRPr="000B6FC4">
        <w:rPr>
          <w:rFonts w:cs="Arial"/>
          <w:color w:val="17365D" w:themeColor="text2" w:themeShade="BF"/>
          <w:szCs w:val="20"/>
          <w:lang w:eastAsia="hr-HR"/>
        </w:rPr>
        <w:t>51,9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 % poslovalo je s dobitkom, a </w:t>
      </w:r>
      <w:r w:rsidR="000B6FC4" w:rsidRPr="000B6FC4">
        <w:rPr>
          <w:rFonts w:cs="Arial"/>
          <w:color w:val="17365D" w:themeColor="text2" w:themeShade="BF"/>
          <w:szCs w:val="20"/>
          <w:lang w:eastAsia="hr-HR"/>
        </w:rPr>
        <w:t>48,1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 % odnosno </w:t>
      </w:r>
      <w:r w:rsidR="000B6FC4" w:rsidRPr="000B6FC4">
        <w:rPr>
          <w:rFonts w:cs="Arial"/>
          <w:color w:val="17365D" w:themeColor="text2" w:themeShade="BF"/>
          <w:szCs w:val="20"/>
          <w:lang w:eastAsia="hr-HR"/>
        </w:rPr>
        <w:t>13</w:t>
      </w:r>
      <w:r w:rsidRPr="000B6FC4">
        <w:rPr>
          <w:rFonts w:cs="Arial"/>
          <w:color w:val="17365D" w:themeColor="text2" w:themeShade="BF"/>
          <w:szCs w:val="20"/>
          <w:lang w:eastAsia="hr-HR"/>
        </w:rPr>
        <w:t xml:space="preserve"> poduzetnika s gubitkom.</w:t>
      </w:r>
      <w:r w:rsidR="00DF4A91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Pr="000B6FC4">
        <w:rPr>
          <w:rFonts w:cs="Arial"/>
          <w:color w:val="17365D" w:themeColor="text2" w:themeShade="BF"/>
          <w:szCs w:val="20"/>
        </w:rPr>
        <w:t xml:space="preserve">U </w:t>
      </w:r>
      <w:r w:rsidR="000B6FC4" w:rsidRPr="000B6FC4">
        <w:rPr>
          <w:rFonts w:cs="Arial"/>
          <w:color w:val="17365D" w:themeColor="text2" w:themeShade="BF"/>
          <w:szCs w:val="20"/>
        </w:rPr>
        <w:t>razdoblju od 2012. do 2016</w:t>
      </w:r>
      <w:r w:rsidRPr="000B6FC4">
        <w:rPr>
          <w:rFonts w:cs="Arial"/>
          <w:color w:val="17365D" w:themeColor="text2" w:themeShade="BF"/>
          <w:szCs w:val="20"/>
        </w:rPr>
        <w:t>. godine broj registriranih poslovnih subjekata varirao je između 22 i 28. Ostvareni prosječ</w:t>
      </w:r>
      <w:r w:rsidR="000B6FC4" w:rsidRPr="000B6FC4">
        <w:rPr>
          <w:rFonts w:cs="Arial"/>
          <w:color w:val="17365D" w:themeColor="text2" w:themeShade="BF"/>
          <w:szCs w:val="20"/>
        </w:rPr>
        <w:t>ni prihodi po poduzetniku smanjivali su se iz godine u godinu</w:t>
      </w:r>
      <w:r w:rsidR="00A067A2">
        <w:rPr>
          <w:rFonts w:cs="Arial"/>
          <w:color w:val="17365D" w:themeColor="text2" w:themeShade="BF"/>
          <w:szCs w:val="20"/>
        </w:rPr>
        <w:t xml:space="preserve"> i </w:t>
      </w:r>
      <w:r w:rsidR="000B6FC4" w:rsidRPr="000B6FC4">
        <w:rPr>
          <w:rFonts w:cs="Arial"/>
          <w:color w:val="17365D" w:themeColor="text2" w:themeShade="BF"/>
          <w:szCs w:val="20"/>
        </w:rPr>
        <w:t xml:space="preserve">u 2012. godini iznosili </w:t>
      </w:r>
      <w:r w:rsidR="00A067A2">
        <w:rPr>
          <w:rFonts w:cs="Arial"/>
          <w:color w:val="17365D" w:themeColor="text2" w:themeShade="BF"/>
          <w:szCs w:val="20"/>
        </w:rPr>
        <w:t xml:space="preserve">su </w:t>
      </w:r>
      <w:r w:rsidR="000B6FC4" w:rsidRPr="000B6FC4">
        <w:rPr>
          <w:rFonts w:cs="Arial"/>
          <w:color w:val="17365D" w:themeColor="text2" w:themeShade="BF"/>
          <w:szCs w:val="20"/>
        </w:rPr>
        <w:t>5,</w:t>
      </w:r>
      <w:proofErr w:type="spellStart"/>
      <w:r w:rsidR="000B6FC4" w:rsidRPr="000B6FC4">
        <w:rPr>
          <w:rFonts w:cs="Arial"/>
          <w:color w:val="17365D" w:themeColor="text2" w:themeShade="BF"/>
          <w:szCs w:val="20"/>
        </w:rPr>
        <w:t>5</w:t>
      </w:r>
      <w:proofErr w:type="spellEnd"/>
      <w:r w:rsidRPr="000B6FC4">
        <w:rPr>
          <w:rFonts w:cs="Arial"/>
          <w:color w:val="17365D" w:themeColor="text2" w:themeShade="BF"/>
          <w:szCs w:val="20"/>
        </w:rPr>
        <w:t xml:space="preserve"> milijuna kuna, </w:t>
      </w:r>
      <w:r w:rsidR="000B6FC4" w:rsidRPr="000B6FC4">
        <w:rPr>
          <w:rFonts w:cs="Arial"/>
          <w:color w:val="17365D" w:themeColor="text2" w:themeShade="BF"/>
          <w:szCs w:val="20"/>
        </w:rPr>
        <w:t>a u 2016. godini 1,9 milijun kuna.</w:t>
      </w:r>
    </w:p>
    <w:p w:rsidR="005C1E23" w:rsidRDefault="00811936" w:rsidP="007810BB">
      <w:pPr>
        <w:spacing w:before="120"/>
        <w:rPr>
          <w:rFonts w:cs="Arial"/>
          <w:color w:val="17365D" w:themeColor="text2" w:themeShade="BF"/>
          <w:szCs w:val="20"/>
        </w:rPr>
      </w:pPr>
      <w:r>
        <w:rPr>
          <w:rFonts w:cs="Arial"/>
          <w:color w:val="17365D" w:themeColor="text2" w:themeShade="BF"/>
          <w:szCs w:val="20"/>
        </w:rPr>
        <w:t xml:space="preserve">Najveći ukupni prihodi ostvareni su 2012. godine u iznosu od </w:t>
      </w:r>
      <w:r w:rsidR="00207157">
        <w:rPr>
          <w:rFonts w:cs="Arial"/>
          <w:color w:val="17365D" w:themeColor="text2" w:themeShade="BF"/>
          <w:szCs w:val="20"/>
        </w:rPr>
        <w:t>132,5 milijuna kuna, a najmanji 2016. godine, 52,1 milijun kuna, što je u odnosu na početnu promatranu godinu smanjenje od 60,7</w:t>
      </w:r>
      <w:r w:rsidR="00DF4A91">
        <w:rPr>
          <w:rFonts w:cs="Arial"/>
          <w:color w:val="17365D" w:themeColor="text2" w:themeShade="BF"/>
          <w:szCs w:val="20"/>
        </w:rPr>
        <w:t xml:space="preserve"> </w:t>
      </w:r>
      <w:r w:rsidR="00207157">
        <w:rPr>
          <w:rFonts w:cs="Arial"/>
          <w:color w:val="17365D" w:themeColor="text2" w:themeShade="BF"/>
          <w:szCs w:val="20"/>
        </w:rPr>
        <w:t xml:space="preserve">%. U navedenoj djelatnosti u 2016. godini bilo je 27 poduzetnika koji su zapošljavali </w:t>
      </w:r>
      <w:r w:rsidR="005C1E23">
        <w:rPr>
          <w:rFonts w:cs="Arial"/>
          <w:color w:val="17365D" w:themeColor="text2" w:themeShade="BF"/>
          <w:szCs w:val="20"/>
        </w:rPr>
        <w:t xml:space="preserve">139 zaposlenih, što je u prosjeku </w:t>
      </w:r>
      <w:r w:rsidR="00CF2526">
        <w:rPr>
          <w:rFonts w:cs="Arial"/>
          <w:color w:val="17365D" w:themeColor="text2" w:themeShade="BF"/>
          <w:szCs w:val="20"/>
        </w:rPr>
        <w:t>pet</w:t>
      </w:r>
      <w:r w:rsidR="005C1E23">
        <w:rPr>
          <w:rFonts w:cs="Arial"/>
          <w:color w:val="17365D" w:themeColor="text2" w:themeShade="BF"/>
          <w:szCs w:val="20"/>
        </w:rPr>
        <w:t xml:space="preserve"> zaposlenih po poduzetniku, dok je najviše zaposlenih po poduzetniku (njih 14)</w:t>
      </w:r>
      <w:r w:rsidR="00CF2526">
        <w:rPr>
          <w:rFonts w:cs="Arial"/>
          <w:color w:val="17365D" w:themeColor="text2" w:themeShade="BF"/>
          <w:szCs w:val="20"/>
        </w:rPr>
        <w:t>,</w:t>
      </w:r>
      <w:bookmarkStart w:id="0" w:name="_GoBack"/>
      <w:bookmarkEnd w:id="0"/>
      <w:r w:rsidR="005C1E23">
        <w:rPr>
          <w:rFonts w:cs="Arial"/>
          <w:color w:val="17365D" w:themeColor="text2" w:themeShade="BF"/>
          <w:szCs w:val="20"/>
        </w:rPr>
        <w:t xml:space="preserve"> bilo 2012. godine. Broj zaposlenih se smanjivao svake godine te je u 2016. bilo 57,6</w:t>
      </w:r>
      <w:r w:rsidR="00DF4A91">
        <w:rPr>
          <w:rFonts w:cs="Arial"/>
          <w:color w:val="17365D" w:themeColor="text2" w:themeShade="BF"/>
          <w:szCs w:val="20"/>
        </w:rPr>
        <w:t xml:space="preserve"> </w:t>
      </w:r>
      <w:r w:rsidR="005C1E23">
        <w:rPr>
          <w:rFonts w:cs="Arial"/>
          <w:color w:val="17365D" w:themeColor="text2" w:themeShade="BF"/>
          <w:szCs w:val="20"/>
        </w:rPr>
        <w:t>% manje zaposlenih nego u 2012. godini.</w:t>
      </w:r>
    </w:p>
    <w:p w:rsidR="00207157" w:rsidRPr="00303E3F" w:rsidRDefault="00207157" w:rsidP="007810BB">
      <w:pPr>
        <w:spacing w:before="120"/>
        <w:rPr>
          <w:rFonts w:cs="Arial"/>
          <w:color w:val="17365D" w:themeColor="text2" w:themeShade="BF"/>
          <w:szCs w:val="20"/>
          <w:lang w:eastAsia="hr-HR"/>
        </w:rPr>
      </w:pP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Prosječna mjesečna obračunata neto plaća </w:t>
      </w:r>
      <w:r w:rsidR="00303E3F" w:rsidRPr="00303E3F">
        <w:rPr>
          <w:rFonts w:cs="Arial"/>
          <w:color w:val="17365D" w:themeColor="text2" w:themeShade="BF"/>
          <w:szCs w:val="20"/>
        </w:rPr>
        <w:t>zaposlenih kod poduzetnika u djelatnosti trgovine na malo igrama i igračkama u specijaliziranim prodavaonica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>ma, u 2016. godini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 iznosila je 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>2.892 kune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, što je 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>6,3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 % </w:t>
      </w:r>
      <w:r w:rsidR="00A013C7">
        <w:rPr>
          <w:rFonts w:cs="Arial"/>
          <w:color w:val="17365D" w:themeColor="text2" w:themeShade="BF"/>
          <w:szCs w:val="20"/>
          <w:lang w:eastAsia="hr-HR"/>
        </w:rPr>
        <w:t>manje u odnosu na prethodnu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 xml:space="preserve"> godinu, 34,3 % manje od prosječne plaće poduzetnika odjeljka 47 (trgovina na malo, osim trgovine motornim vozilima i motociklima) i 43,7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 % manje od prosječne mjesečne neto plaće zaposlenih kod poduzetnika na razini RH (5.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>140</w:t>
      </w:r>
      <w:r w:rsidRPr="00303E3F">
        <w:rPr>
          <w:rFonts w:cs="Arial"/>
          <w:color w:val="17365D" w:themeColor="text2" w:themeShade="BF"/>
          <w:szCs w:val="20"/>
          <w:lang w:eastAsia="hr-HR"/>
        </w:rPr>
        <w:t xml:space="preserve"> kuna)</w:t>
      </w:r>
      <w:r w:rsidR="00303E3F" w:rsidRPr="00303E3F">
        <w:rPr>
          <w:rFonts w:cs="Arial"/>
          <w:color w:val="17365D" w:themeColor="text2" w:themeShade="BF"/>
          <w:szCs w:val="20"/>
          <w:lang w:eastAsia="hr-HR"/>
        </w:rPr>
        <w:t>.</w:t>
      </w:r>
    </w:p>
    <w:p w:rsidR="00303E3F" w:rsidRPr="00303E3F" w:rsidRDefault="00303E3F" w:rsidP="007810BB">
      <w:pPr>
        <w:spacing w:before="120"/>
        <w:rPr>
          <w:rFonts w:cs="Arial"/>
          <w:color w:val="17365D" w:themeColor="text2" w:themeShade="BF"/>
          <w:szCs w:val="20"/>
        </w:rPr>
      </w:pPr>
      <w:r w:rsidRPr="00303E3F">
        <w:rPr>
          <w:rFonts w:cs="Arial"/>
          <w:color w:val="17365D" w:themeColor="text2" w:themeShade="BF"/>
          <w:szCs w:val="20"/>
        </w:rPr>
        <w:t xml:space="preserve">Zaposlenima kod poduzetnika u spomenutom području djelatnosti </w:t>
      </w:r>
      <w:r>
        <w:rPr>
          <w:rFonts w:cs="Arial"/>
          <w:color w:val="17365D" w:themeColor="text2" w:themeShade="BF"/>
          <w:szCs w:val="20"/>
        </w:rPr>
        <w:t xml:space="preserve">2015. godine </w:t>
      </w:r>
      <w:r w:rsidRPr="00303E3F">
        <w:rPr>
          <w:rFonts w:cs="Arial"/>
          <w:color w:val="17365D" w:themeColor="text2" w:themeShade="BF"/>
          <w:szCs w:val="20"/>
        </w:rPr>
        <w:t>obračunata je najveća prosječna mjesečna neto plaća koja je iznosila 3.088 kuna</w:t>
      </w:r>
      <w:r w:rsidR="00DF4A91">
        <w:rPr>
          <w:rFonts w:cs="Arial"/>
          <w:color w:val="17365D" w:themeColor="text2" w:themeShade="BF"/>
          <w:szCs w:val="20"/>
        </w:rPr>
        <w:t>, dok je u 2016. godini njihova prosječna mjesečna plaća bila niža i iznosila je 2.892 kune</w:t>
      </w:r>
      <w:r w:rsidRPr="00303E3F">
        <w:rPr>
          <w:rFonts w:cs="Arial"/>
          <w:color w:val="17365D" w:themeColor="text2" w:themeShade="BF"/>
          <w:szCs w:val="20"/>
        </w:rPr>
        <w:t>.</w:t>
      </w:r>
    </w:p>
    <w:p w:rsidR="007810BB" w:rsidRDefault="007810BB" w:rsidP="007810BB">
      <w:pPr>
        <w:tabs>
          <w:tab w:val="left" w:pos="1134"/>
        </w:tabs>
        <w:spacing w:before="180" w:after="60"/>
        <w:ind w:left="1134" w:hanging="1134"/>
        <w:jc w:val="left"/>
        <w:rPr>
          <w:rFonts w:cs="Arial"/>
          <w:color w:val="244061"/>
          <w:sz w:val="16"/>
          <w:szCs w:val="16"/>
          <w:lang w:eastAsia="hr-HR"/>
        </w:rPr>
      </w:pPr>
      <w:r>
        <w:rPr>
          <w:rFonts w:cs="Arial"/>
          <w:b/>
          <w:color w:val="244061"/>
          <w:sz w:val="18"/>
          <w:szCs w:val="18"/>
          <w:lang w:eastAsia="hr-HR"/>
        </w:rPr>
        <w:t>Tablica 1.</w:t>
      </w:r>
      <w:r>
        <w:rPr>
          <w:rFonts w:cs="Arial"/>
          <w:b/>
          <w:color w:val="244061"/>
          <w:sz w:val="18"/>
          <w:szCs w:val="18"/>
          <w:lang w:eastAsia="hr-HR"/>
        </w:rPr>
        <w:tab/>
        <w:t>Osnovni financijski rezultati poslovanja poduzetnika u djelatnosti 47.65 – Trgovina na malo igrama i igračkama u specijaliziranim pro</w:t>
      </w:r>
      <w:r w:rsidR="00D065B1">
        <w:rPr>
          <w:rFonts w:cs="Arial"/>
          <w:b/>
          <w:color w:val="244061"/>
          <w:sz w:val="18"/>
          <w:szCs w:val="18"/>
          <w:lang w:eastAsia="hr-HR"/>
        </w:rPr>
        <w:t>davaonicama za razdoblje od 2012.-2016</w:t>
      </w:r>
      <w:r>
        <w:rPr>
          <w:rFonts w:cs="Arial"/>
          <w:b/>
          <w:color w:val="244061"/>
          <w:sz w:val="18"/>
          <w:szCs w:val="18"/>
          <w:lang w:eastAsia="hr-HR"/>
        </w:rPr>
        <w:t>. g</w:t>
      </w:r>
      <w:r>
        <w:rPr>
          <w:rFonts w:cs="Arial"/>
          <w:color w:val="244061"/>
          <w:sz w:val="18"/>
          <w:szCs w:val="18"/>
          <w:lang w:eastAsia="hr-HR"/>
        </w:rPr>
        <w:t>.</w:t>
      </w:r>
      <w:r>
        <w:rPr>
          <w:rFonts w:cs="Arial"/>
          <w:color w:val="244061"/>
          <w:sz w:val="18"/>
          <w:szCs w:val="18"/>
          <w:vertAlign w:val="superscript"/>
          <w:lang w:eastAsia="hr-HR"/>
        </w:rPr>
        <w:footnoteReference w:id="1"/>
      </w:r>
      <w:r>
        <w:rPr>
          <w:rFonts w:cs="Arial"/>
          <w:color w:val="244061"/>
          <w:sz w:val="18"/>
          <w:szCs w:val="18"/>
          <w:lang w:eastAsia="hr-HR"/>
        </w:rPr>
        <w:tab/>
        <w:t>(i</w:t>
      </w:r>
      <w:r>
        <w:rPr>
          <w:rFonts w:cs="Arial"/>
          <w:i/>
          <w:color w:val="244061"/>
          <w:sz w:val="16"/>
          <w:szCs w:val="16"/>
          <w:lang w:eastAsia="hr-HR"/>
        </w:rPr>
        <w:t>znosi: u tisućama kuna)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855"/>
        <w:gridCol w:w="1130"/>
        <w:gridCol w:w="964"/>
        <w:gridCol w:w="964"/>
        <w:gridCol w:w="964"/>
        <w:gridCol w:w="964"/>
        <w:gridCol w:w="964"/>
      </w:tblGrid>
      <w:tr w:rsidR="007810BB" w:rsidTr="00062512">
        <w:trPr>
          <w:trHeight w:val="397"/>
          <w:jc w:val="center"/>
        </w:trPr>
        <w:tc>
          <w:tcPr>
            <w:tcW w:w="3855" w:type="dxa"/>
            <w:vMerge w:val="restart"/>
            <w:tcBorders>
              <w:top w:val="single" w:sz="4" w:space="0" w:color="00325A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00325A"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Odjeljak 47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  <w:vertAlign w:val="superscript"/>
                <w:lang w:eastAsia="hr-HR"/>
              </w:rPr>
              <w:footnoteReference w:id="2"/>
            </w:r>
          </w:p>
        </w:tc>
        <w:tc>
          <w:tcPr>
            <w:tcW w:w="4820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Razred djelatnosti 47.65</w:t>
            </w: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>
              <w:rPr>
                <w:rFonts w:cs="Arial"/>
                <w:bCs/>
                <w:color w:val="FFFFFF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7810BB" w:rsidTr="00062512">
        <w:trPr>
          <w:trHeight w:val="283"/>
          <w:jc w:val="center"/>
        </w:trPr>
        <w:tc>
          <w:tcPr>
            <w:tcW w:w="3855" w:type="dxa"/>
            <w:vMerge/>
            <w:tcBorders>
              <w:top w:val="single" w:sz="4" w:space="0" w:color="00325A"/>
              <w:left w:val="nil"/>
              <w:bottom w:val="single" w:sz="4" w:space="0" w:color="BFBFBF"/>
              <w:right w:val="single" w:sz="4" w:space="0" w:color="FFFFFF"/>
            </w:tcBorders>
            <w:vAlign w:val="center"/>
            <w:hideMark/>
          </w:tcPr>
          <w:p w:rsidR="007810BB" w:rsidRDefault="007810BB" w:rsidP="00062512">
            <w:pPr>
              <w:spacing w:line="240" w:lineRule="auto"/>
              <w:jc w:val="left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00325A"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2012.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2013.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2014.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16365C"/>
            <w:noWrap/>
            <w:vAlign w:val="center"/>
            <w:hideMark/>
          </w:tcPr>
          <w:p w:rsidR="007810BB" w:rsidRDefault="007810BB" w:rsidP="00062512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8.832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24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25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27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5.781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14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3.051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13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83.876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328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233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305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150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139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75.864.431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132.546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78.087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103.211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53.222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52.143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73.857.825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154.488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86.816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111.162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51.970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51.603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2.989.413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3.578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1.440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3.469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1.640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1.379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982.808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25.521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10.169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11.420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388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839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473.976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723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299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663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331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264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2.513.602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2.847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1.129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2.795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1.310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1.115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980.972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25.513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10.158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11.409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388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839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b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b/>
                <w:color w:val="00325A"/>
                <w:sz w:val="18"/>
                <w:szCs w:val="18"/>
                <w:lang w:eastAsia="hr-HR"/>
              </w:rPr>
              <w:t>Dobit ili gubitak razdoblja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1.532.630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>-22.665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>-9.029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>-8.614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921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276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985.357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16.104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1.623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2.080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3.356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2.384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7.804.319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55.439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9.514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8.804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5.837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2.812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-6.818.962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-39.335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-7.891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-6.724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-2.480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-428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2.451.272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5.557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939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1.232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1.093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193</w:t>
            </w:r>
          </w:p>
        </w:tc>
      </w:tr>
      <w:tr w:rsidR="000B6FC4" w:rsidTr="00062512">
        <w:trPr>
          <w:trHeight w:val="283"/>
          <w:jc w:val="center"/>
        </w:trPr>
        <w:tc>
          <w:tcPr>
            <w:tcW w:w="3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6FC4" w:rsidRDefault="000B6FC4" w:rsidP="00062512">
            <w:pPr>
              <w:spacing w:line="240" w:lineRule="auto"/>
              <w:jc w:val="left"/>
              <w:rPr>
                <w:rFonts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>Prosječne mjesečne neto plaće po zaposl</w:t>
            </w:r>
            <w:r w:rsidR="00062512">
              <w:rPr>
                <w:rFonts w:cs="Arial"/>
                <w:color w:val="00325A"/>
                <w:sz w:val="18"/>
                <w:szCs w:val="18"/>
                <w:lang w:eastAsia="hr-HR"/>
              </w:rPr>
              <w:t>en.</w:t>
            </w:r>
            <w:r>
              <w:rPr>
                <w:rFonts w:cs="Arial"/>
                <w:color w:val="00325A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4.400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2.641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2.923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2.904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3.088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6FC4" w:rsidRDefault="000B6FC4" w:rsidP="00062512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2.892</w:t>
            </w:r>
          </w:p>
        </w:tc>
      </w:tr>
    </w:tbl>
    <w:p w:rsidR="007810BB" w:rsidRDefault="007810BB" w:rsidP="007810BB">
      <w:pPr>
        <w:spacing w:before="40"/>
        <w:rPr>
          <w:color w:val="244061"/>
        </w:rPr>
      </w:pPr>
      <w:r>
        <w:rPr>
          <w:rFonts w:cs="Arial"/>
          <w:i/>
          <w:color w:val="244061"/>
          <w:sz w:val="16"/>
          <w:szCs w:val="16"/>
          <w:lang w:eastAsia="hr-HR"/>
        </w:rPr>
        <w:t>Izvor: Fina – Registar godišnjih financijskih izvještaja</w:t>
      </w:r>
    </w:p>
    <w:p w:rsidR="00207157" w:rsidRPr="00207157" w:rsidRDefault="00207157" w:rsidP="00062512">
      <w:pPr>
        <w:spacing w:before="180"/>
        <w:rPr>
          <w:rFonts w:cs="Arial"/>
          <w:color w:val="17365D" w:themeColor="text2" w:themeShade="BF"/>
          <w:szCs w:val="20"/>
          <w:lang w:eastAsia="hr-HR"/>
        </w:rPr>
      </w:pPr>
      <w:r w:rsidRPr="00207157">
        <w:rPr>
          <w:rFonts w:cs="Arial"/>
          <w:color w:val="17365D" w:themeColor="text2" w:themeShade="BF"/>
          <w:szCs w:val="20"/>
          <w:lang w:eastAsia="hr-HR"/>
        </w:rPr>
        <w:t xml:space="preserve">U djelatnosti 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>trgovine na malo igrama i igračkama u specijaliziranim prodavaonicama</w:t>
      </w:r>
      <w:r w:rsidRPr="00207157">
        <w:rPr>
          <w:rFonts w:cs="Arial"/>
          <w:color w:val="17365D" w:themeColor="text2" w:themeShade="BF"/>
          <w:szCs w:val="20"/>
          <w:lang w:eastAsia="hr-HR"/>
        </w:rPr>
        <w:t xml:space="preserve"> bilo je 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>25 mikro poduzetni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ka (92,6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>%) i 2 mala poduzetnika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(7,4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%)</w:t>
      </w:r>
      <w:r w:rsidR="007C008C" w:rsidRPr="007B5ADC">
        <w:rPr>
          <w:rFonts w:cs="Arial"/>
          <w:color w:val="17365D" w:themeColor="text2" w:themeShade="BF"/>
          <w:szCs w:val="20"/>
          <w:lang w:eastAsia="hr-HR"/>
        </w:rPr>
        <w:t xml:space="preserve">. </w:t>
      </w:r>
      <w:r w:rsidR="00DF4A91">
        <w:rPr>
          <w:rFonts w:cs="Arial"/>
          <w:color w:val="17365D" w:themeColor="text2" w:themeShade="BF"/>
          <w:szCs w:val="20"/>
          <w:lang w:eastAsia="hr-HR"/>
        </w:rPr>
        <w:t>Dva mala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poduzetni</w:t>
      </w:r>
      <w:r w:rsidR="00DF4A91">
        <w:rPr>
          <w:rFonts w:cs="Arial"/>
          <w:color w:val="17365D" w:themeColor="text2" w:themeShade="BF"/>
          <w:szCs w:val="20"/>
          <w:lang w:eastAsia="hr-HR"/>
        </w:rPr>
        <w:t>ka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062512">
        <w:rPr>
          <w:rFonts w:cs="Arial"/>
          <w:color w:val="17365D" w:themeColor="text2" w:themeShade="BF"/>
          <w:szCs w:val="20"/>
          <w:lang w:eastAsia="hr-HR"/>
        </w:rPr>
        <w:t>u spomenutoj djelatnosti</w:t>
      </w:r>
      <w:r w:rsidR="00DF4A91">
        <w:rPr>
          <w:rFonts w:cs="Arial"/>
          <w:color w:val="17365D" w:themeColor="text2" w:themeShade="BF"/>
          <w:szCs w:val="20"/>
          <w:lang w:eastAsia="hr-HR"/>
        </w:rPr>
        <w:t>,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u 2016. godini</w:t>
      </w:r>
      <w:r w:rsidR="00DF4A91">
        <w:rPr>
          <w:rFonts w:cs="Arial"/>
          <w:color w:val="17365D" w:themeColor="text2" w:themeShade="BF"/>
          <w:szCs w:val="20"/>
          <w:lang w:eastAsia="hr-HR"/>
        </w:rPr>
        <w:t>,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poslovali </w:t>
      </w:r>
      <w:r w:rsidR="00DF4A91">
        <w:rPr>
          <w:rFonts w:cs="Arial"/>
          <w:color w:val="17365D" w:themeColor="text2" w:themeShade="BF"/>
          <w:szCs w:val="20"/>
          <w:lang w:eastAsia="hr-HR"/>
        </w:rPr>
        <w:t xml:space="preserve">su </w:t>
      </w:r>
      <w:r w:rsidRPr="00207157">
        <w:rPr>
          <w:rFonts w:cs="Arial"/>
          <w:color w:val="17365D" w:themeColor="text2" w:themeShade="BF"/>
          <w:szCs w:val="20"/>
          <w:lang w:eastAsia="hr-HR"/>
        </w:rPr>
        <w:t xml:space="preserve">uspješnije od </w:t>
      </w:r>
      <w:r w:rsidR="00DF4A91">
        <w:rPr>
          <w:rFonts w:cs="Arial"/>
          <w:color w:val="17365D" w:themeColor="text2" w:themeShade="BF"/>
          <w:szCs w:val="20"/>
          <w:lang w:eastAsia="hr-HR"/>
        </w:rPr>
        <w:t>skupine</w:t>
      </w:r>
      <w:r w:rsidRPr="00207157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mikro poduzetnika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 te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ostvar</w:t>
      </w:r>
      <w:r w:rsidR="00062512">
        <w:rPr>
          <w:rFonts w:cs="Arial"/>
          <w:color w:val="17365D" w:themeColor="text2" w:themeShade="BF"/>
          <w:szCs w:val="20"/>
          <w:lang w:eastAsia="hr-HR"/>
        </w:rPr>
        <w:t>ili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 xml:space="preserve"> neto dobiti 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u iznosu od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288 tisuća kuna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, dok su </w:t>
      </w:r>
      <w:r w:rsidR="007B5ADC" w:rsidRPr="007B5ADC">
        <w:rPr>
          <w:rFonts w:cs="Arial"/>
          <w:color w:val="17365D" w:themeColor="text2" w:themeShade="BF"/>
          <w:szCs w:val="20"/>
          <w:lang w:eastAsia="hr-HR"/>
        </w:rPr>
        <w:t>mikro poduzetnici iskazali neto gubitak od 12 tisuća kuna.</w:t>
      </w:r>
      <w:r w:rsidR="0071745C">
        <w:rPr>
          <w:rFonts w:cs="Arial"/>
          <w:color w:val="17365D" w:themeColor="text2" w:themeShade="BF"/>
          <w:szCs w:val="20"/>
          <w:lang w:eastAsia="hr-HR"/>
        </w:rPr>
        <w:t xml:space="preserve"> Prema oblicima vlasništva u spomenutoj djelatnosti poslovali su </w:t>
      </w:r>
      <w:r w:rsidR="00062512">
        <w:rPr>
          <w:rFonts w:cs="Arial"/>
          <w:color w:val="17365D" w:themeColor="text2" w:themeShade="BF"/>
          <w:szCs w:val="20"/>
          <w:lang w:eastAsia="hr-HR"/>
        </w:rPr>
        <w:t>p</w:t>
      </w:r>
      <w:r w:rsidR="0071745C">
        <w:rPr>
          <w:rFonts w:cs="Arial"/>
          <w:color w:val="17365D" w:themeColor="text2" w:themeShade="BF"/>
          <w:szCs w:val="20"/>
          <w:lang w:eastAsia="hr-HR"/>
        </w:rPr>
        <w:t xml:space="preserve">oduzetnici </w:t>
      </w:r>
      <w:r w:rsidR="00062512">
        <w:rPr>
          <w:rFonts w:cs="Arial"/>
          <w:color w:val="17365D" w:themeColor="text2" w:themeShade="BF"/>
          <w:szCs w:val="20"/>
          <w:lang w:eastAsia="hr-HR"/>
        </w:rPr>
        <w:t xml:space="preserve">isključivo u </w:t>
      </w:r>
      <w:r w:rsidR="0071745C">
        <w:rPr>
          <w:rFonts w:cs="Arial"/>
          <w:color w:val="17365D" w:themeColor="text2" w:themeShade="BF"/>
          <w:szCs w:val="20"/>
          <w:lang w:eastAsia="hr-HR"/>
        </w:rPr>
        <w:t>privatno</w:t>
      </w:r>
      <w:r w:rsidR="00062512">
        <w:rPr>
          <w:rFonts w:cs="Arial"/>
          <w:color w:val="17365D" w:themeColor="text2" w:themeShade="BF"/>
          <w:szCs w:val="20"/>
          <w:lang w:eastAsia="hr-HR"/>
        </w:rPr>
        <w:t>m</w:t>
      </w:r>
      <w:r w:rsidR="0071745C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 w:rsidR="00062512">
        <w:rPr>
          <w:rFonts w:cs="Arial"/>
          <w:color w:val="17365D" w:themeColor="text2" w:themeShade="BF"/>
          <w:szCs w:val="20"/>
          <w:lang w:eastAsia="hr-HR"/>
        </w:rPr>
        <w:t>vlasništvu</w:t>
      </w:r>
      <w:r w:rsidR="0071745C">
        <w:rPr>
          <w:rFonts w:cs="Arial"/>
          <w:color w:val="17365D" w:themeColor="text2" w:themeShade="BF"/>
          <w:szCs w:val="20"/>
          <w:lang w:eastAsia="hr-HR"/>
        </w:rPr>
        <w:t>.</w:t>
      </w:r>
    </w:p>
    <w:p w:rsidR="007810BB" w:rsidRPr="0071745C" w:rsidRDefault="007810BB" w:rsidP="00DF4A91">
      <w:pPr>
        <w:pageBreakBefore/>
        <w:spacing w:before="60"/>
        <w:rPr>
          <w:rFonts w:cs="Arial"/>
          <w:color w:val="17365D" w:themeColor="text2" w:themeShade="BF"/>
          <w:szCs w:val="20"/>
        </w:rPr>
      </w:pPr>
      <w:r w:rsidRPr="0071745C">
        <w:rPr>
          <w:rFonts w:cs="Arial"/>
          <w:color w:val="17365D" w:themeColor="text2" w:themeShade="BF"/>
          <w:szCs w:val="20"/>
        </w:rPr>
        <w:lastRenderedPageBreak/>
        <w:t xml:space="preserve">Konsolidirani financijski rezultat poslovanja skupine </w:t>
      </w:r>
      <w:r w:rsidR="00062512" w:rsidRPr="00062512">
        <w:rPr>
          <w:rFonts w:cs="Arial"/>
          <w:color w:val="17365D" w:themeColor="text2" w:themeShade="BF"/>
          <w:szCs w:val="20"/>
        </w:rPr>
        <w:t xml:space="preserve">poduzetnika </w:t>
      </w:r>
      <w:r w:rsidR="00062512">
        <w:rPr>
          <w:rFonts w:cs="Arial"/>
          <w:color w:val="17365D" w:themeColor="text2" w:themeShade="BF"/>
          <w:szCs w:val="20"/>
        </w:rPr>
        <w:t>u t</w:t>
      </w:r>
      <w:r w:rsidRPr="0071745C">
        <w:rPr>
          <w:rFonts w:cs="Arial"/>
          <w:color w:val="17365D" w:themeColor="text2" w:themeShade="BF"/>
          <w:szCs w:val="20"/>
        </w:rPr>
        <w:t>rgovina na malo igrama i igračkama u specijaliziranim prodavaonicama</w:t>
      </w:r>
      <w:r w:rsidR="00062512">
        <w:rPr>
          <w:rFonts w:cs="Arial"/>
          <w:color w:val="17365D" w:themeColor="text2" w:themeShade="BF"/>
          <w:szCs w:val="20"/>
        </w:rPr>
        <w:t>,</w:t>
      </w:r>
      <w:r w:rsidRPr="0071745C">
        <w:rPr>
          <w:rFonts w:cs="Arial"/>
          <w:color w:val="17365D" w:themeColor="text2" w:themeShade="BF"/>
          <w:szCs w:val="20"/>
        </w:rPr>
        <w:t xml:space="preserve"> bio je pozitivan </w:t>
      </w:r>
      <w:r w:rsidR="0071745C" w:rsidRPr="0071745C">
        <w:rPr>
          <w:rFonts w:cs="Arial"/>
          <w:color w:val="17365D" w:themeColor="text2" w:themeShade="BF"/>
          <w:szCs w:val="20"/>
        </w:rPr>
        <w:t xml:space="preserve">u 2015. godini </w:t>
      </w:r>
      <w:r w:rsidR="00062512">
        <w:rPr>
          <w:rFonts w:cs="Arial"/>
          <w:color w:val="17365D" w:themeColor="text2" w:themeShade="BF"/>
          <w:szCs w:val="20"/>
        </w:rPr>
        <w:t>(</w:t>
      </w:r>
      <w:r w:rsidR="0071745C" w:rsidRPr="0071745C">
        <w:rPr>
          <w:rFonts w:cs="Arial"/>
          <w:color w:val="17365D" w:themeColor="text2" w:themeShade="BF"/>
          <w:szCs w:val="20"/>
        </w:rPr>
        <w:t>neto dobit 921 tisuću kuna</w:t>
      </w:r>
      <w:r w:rsidR="00062512">
        <w:rPr>
          <w:rFonts w:cs="Arial"/>
          <w:color w:val="17365D" w:themeColor="text2" w:themeShade="BF"/>
          <w:szCs w:val="20"/>
        </w:rPr>
        <w:t>)</w:t>
      </w:r>
      <w:r w:rsidR="0071745C" w:rsidRPr="0071745C">
        <w:rPr>
          <w:rFonts w:cs="Arial"/>
          <w:color w:val="17365D" w:themeColor="text2" w:themeShade="BF"/>
          <w:szCs w:val="20"/>
        </w:rPr>
        <w:t xml:space="preserve"> i u 2016. godini (276 tisuća kuna neto dobiti). </w:t>
      </w:r>
      <w:r w:rsidRPr="0071745C">
        <w:rPr>
          <w:rFonts w:cs="Arial"/>
          <w:color w:val="17365D" w:themeColor="text2" w:themeShade="BF"/>
          <w:szCs w:val="20"/>
        </w:rPr>
        <w:t>U razdoblju</w:t>
      </w:r>
      <w:r w:rsidR="0071745C" w:rsidRPr="0071745C">
        <w:rPr>
          <w:rFonts w:cs="Arial"/>
          <w:color w:val="17365D" w:themeColor="text2" w:themeShade="BF"/>
          <w:szCs w:val="20"/>
        </w:rPr>
        <w:t xml:space="preserve"> od 2012</w:t>
      </w:r>
      <w:r w:rsidRPr="0071745C">
        <w:rPr>
          <w:rFonts w:cs="Arial"/>
          <w:color w:val="17365D" w:themeColor="text2" w:themeShade="BF"/>
          <w:szCs w:val="20"/>
        </w:rPr>
        <w:t>. do 2014. godine iskazan je neto gubitak, a najveći neto gubitak bio je 2012. godine i iznosio je 22,7 milijuna kuna.</w:t>
      </w:r>
    </w:p>
    <w:p w:rsidR="00AD5110" w:rsidRPr="00AD5110" w:rsidRDefault="00AD5110" w:rsidP="007810BB">
      <w:pPr>
        <w:spacing w:before="120"/>
        <w:rPr>
          <w:rFonts w:cs="Arial"/>
          <w:color w:val="17365D" w:themeColor="text2" w:themeShade="BF"/>
          <w:szCs w:val="20"/>
        </w:rPr>
      </w:pPr>
      <w:r w:rsidRPr="00AD5110">
        <w:rPr>
          <w:rFonts w:cs="Arial"/>
          <w:color w:val="17365D" w:themeColor="text2" w:themeShade="BF"/>
          <w:szCs w:val="20"/>
        </w:rPr>
        <w:t>Na</w:t>
      </w:r>
      <w:r>
        <w:rPr>
          <w:rFonts w:cs="Arial"/>
          <w:color w:val="17365D" w:themeColor="text2" w:themeShade="BF"/>
          <w:szCs w:val="20"/>
        </w:rPr>
        <w:t xml:space="preserve">vedeni gubitak rezultat je poslovanja </w:t>
      </w:r>
      <w:r w:rsidR="003F6EAB">
        <w:rPr>
          <w:rFonts w:cs="Arial"/>
          <w:color w:val="17365D" w:themeColor="text2" w:themeShade="BF"/>
          <w:szCs w:val="20"/>
        </w:rPr>
        <w:t>društva</w:t>
      </w:r>
      <w:r>
        <w:rPr>
          <w:rFonts w:cs="Arial"/>
          <w:color w:val="17365D" w:themeColor="text2" w:themeShade="BF"/>
          <w:szCs w:val="20"/>
        </w:rPr>
        <w:t xml:space="preserve"> </w:t>
      </w:r>
      <w:hyperlink r:id="rId8" w:history="1">
        <w:r w:rsidR="006C7F72" w:rsidRPr="00880F2E">
          <w:rPr>
            <w:rStyle w:val="Hyperlink"/>
            <w:rFonts w:cs="Arial"/>
            <w:szCs w:val="20"/>
          </w:rPr>
          <w:t>ONE2PLAY</w:t>
        </w:r>
        <w:r w:rsidR="003F6EAB" w:rsidRPr="00880F2E">
          <w:rPr>
            <w:rStyle w:val="Hyperlink"/>
            <w:rFonts w:cs="Arial"/>
            <w:szCs w:val="20"/>
          </w:rPr>
          <w:t xml:space="preserve"> d.o.o.</w:t>
        </w:r>
      </w:hyperlink>
      <w:r w:rsidR="003F6EAB">
        <w:rPr>
          <w:rFonts w:cs="Arial"/>
          <w:color w:val="17365D" w:themeColor="text2" w:themeShade="BF"/>
          <w:szCs w:val="20"/>
        </w:rPr>
        <w:t xml:space="preserve"> koje</w:t>
      </w:r>
      <w:r>
        <w:rPr>
          <w:rFonts w:cs="Arial"/>
          <w:color w:val="17365D" w:themeColor="text2" w:themeShade="BF"/>
          <w:szCs w:val="20"/>
        </w:rPr>
        <w:t xml:space="preserve"> je </w:t>
      </w:r>
      <w:r w:rsidR="003F6EAB">
        <w:rPr>
          <w:rFonts w:cs="Arial"/>
          <w:color w:val="17365D" w:themeColor="text2" w:themeShade="BF"/>
          <w:szCs w:val="20"/>
        </w:rPr>
        <w:t>u 2012. godini iskazalo</w:t>
      </w:r>
      <w:r>
        <w:rPr>
          <w:rFonts w:cs="Arial"/>
          <w:color w:val="17365D" w:themeColor="text2" w:themeShade="BF"/>
          <w:szCs w:val="20"/>
        </w:rPr>
        <w:t xml:space="preserve"> 24,7 milijuna kuna gubitka</w:t>
      </w:r>
      <w:r w:rsidR="003F6EAB">
        <w:rPr>
          <w:rFonts w:cs="Arial"/>
          <w:color w:val="17365D" w:themeColor="text2" w:themeShade="BF"/>
          <w:szCs w:val="20"/>
        </w:rPr>
        <w:t>. Trgovački sud u Zagrebu je 19. rujna 2016. godine brisao navedeno društvo (one2play d.o.o. za proizvodnju i trgovinu u stečaju).</w:t>
      </w:r>
    </w:p>
    <w:p w:rsidR="007810BB" w:rsidRPr="00D36DB0" w:rsidRDefault="006470A9" w:rsidP="00062512">
      <w:pPr>
        <w:spacing w:before="120"/>
        <w:rPr>
          <w:rFonts w:cs="Arial"/>
          <w:color w:val="17365D" w:themeColor="text2" w:themeShade="BF"/>
          <w:szCs w:val="20"/>
          <w:lang w:eastAsia="hr-HR"/>
        </w:rPr>
      </w:pPr>
      <w:r>
        <w:rPr>
          <w:rFonts w:cs="Arial"/>
          <w:color w:val="17365D" w:themeColor="text2" w:themeShade="BF"/>
          <w:szCs w:val="20"/>
          <w:lang w:eastAsia="hr-HR"/>
        </w:rPr>
        <w:t>Više od polovice zaposlenih (51,1%) bilo je u</w:t>
      </w:r>
      <w:r w:rsidR="007810BB" w:rsidRPr="003F6EAB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r>
        <w:rPr>
          <w:rFonts w:cs="Arial"/>
          <w:color w:val="17365D" w:themeColor="text2" w:themeShade="BF"/>
          <w:szCs w:val="20"/>
          <w:lang w:eastAsia="hr-HR"/>
        </w:rPr>
        <w:t>društvu</w:t>
      </w:r>
      <w:r w:rsidR="003F6EAB" w:rsidRPr="003F6EAB">
        <w:rPr>
          <w:rFonts w:cs="Arial"/>
          <w:color w:val="17365D" w:themeColor="text2" w:themeShade="BF"/>
          <w:szCs w:val="20"/>
          <w:lang w:eastAsia="hr-HR"/>
        </w:rPr>
        <w:t xml:space="preserve"> </w:t>
      </w:r>
      <w:hyperlink r:id="rId9" w:history="1">
        <w:r w:rsidR="003F6EAB" w:rsidRPr="00880F2E">
          <w:rPr>
            <w:rStyle w:val="Hyperlink"/>
            <w:rFonts w:cs="Arial"/>
            <w:szCs w:val="20"/>
            <w:lang w:eastAsia="hr-HR"/>
          </w:rPr>
          <w:t>EUROM DENIS MALOPRODAJA d.o.o.</w:t>
        </w:r>
      </w:hyperlink>
      <w:r w:rsidR="00D36DB0">
        <w:rPr>
          <w:rFonts w:cs="Arial"/>
          <w:color w:val="17365D" w:themeColor="text2" w:themeShade="BF"/>
          <w:szCs w:val="20"/>
          <w:lang w:eastAsia="hr-HR"/>
        </w:rPr>
        <w:t xml:space="preserve">, 71 od </w:t>
      </w:r>
      <w:r>
        <w:rPr>
          <w:rFonts w:cs="Arial"/>
          <w:color w:val="17365D" w:themeColor="text2" w:themeShade="BF"/>
          <w:szCs w:val="20"/>
          <w:lang w:eastAsia="hr-HR"/>
        </w:rPr>
        <w:t xml:space="preserve">ukupno </w:t>
      </w:r>
      <w:r w:rsidR="003F6EAB" w:rsidRPr="003F6EAB">
        <w:rPr>
          <w:rFonts w:cs="Arial"/>
          <w:color w:val="17365D" w:themeColor="text2" w:themeShade="BF"/>
          <w:szCs w:val="20"/>
          <w:lang w:eastAsia="hr-HR"/>
        </w:rPr>
        <w:t>139</w:t>
      </w:r>
      <w:r w:rsidR="007810BB" w:rsidRPr="003F6EAB">
        <w:rPr>
          <w:rFonts w:cs="Arial"/>
          <w:color w:val="17365D" w:themeColor="text2" w:themeShade="BF"/>
          <w:szCs w:val="20"/>
          <w:lang w:eastAsia="hr-HR"/>
        </w:rPr>
        <w:t xml:space="preserve"> koliko ih je bilo u razredu djelatnosti 47.65</w:t>
      </w:r>
      <w:r w:rsidR="00D36DB0">
        <w:rPr>
          <w:rFonts w:cs="Arial"/>
          <w:color w:val="17365D" w:themeColor="text2" w:themeShade="BF"/>
          <w:szCs w:val="20"/>
          <w:lang w:eastAsia="hr-HR"/>
        </w:rPr>
        <w:t xml:space="preserve"> u 2016</w:t>
      </w:r>
      <w:r w:rsidR="007810BB" w:rsidRPr="003F6EAB">
        <w:rPr>
          <w:rFonts w:cs="Arial"/>
          <w:color w:val="17365D" w:themeColor="text2" w:themeShade="BF"/>
          <w:szCs w:val="20"/>
          <w:lang w:eastAsia="hr-HR"/>
        </w:rPr>
        <w:t>.</w:t>
      </w:r>
    </w:p>
    <w:p w:rsidR="007810BB" w:rsidRPr="00074894" w:rsidRDefault="007810BB" w:rsidP="00091825">
      <w:pPr>
        <w:tabs>
          <w:tab w:val="left" w:pos="0"/>
          <w:tab w:val="left" w:pos="1418"/>
        </w:tabs>
        <w:spacing w:before="240" w:after="60" w:line="264" w:lineRule="auto"/>
        <w:ind w:left="1134" w:hanging="1134"/>
        <w:jc w:val="left"/>
        <w:rPr>
          <w:rFonts w:cs="Arial"/>
          <w:color w:val="17365D" w:themeColor="text2" w:themeShade="BF"/>
          <w:sz w:val="18"/>
          <w:szCs w:val="18"/>
        </w:rPr>
      </w:pPr>
      <w:r w:rsidRPr="00074894">
        <w:rPr>
          <w:rFonts w:cs="Arial"/>
          <w:b/>
          <w:color w:val="17365D" w:themeColor="text2" w:themeShade="BF"/>
          <w:sz w:val="18"/>
          <w:szCs w:val="18"/>
        </w:rPr>
        <w:t>Tablica 2.</w:t>
      </w:r>
      <w:r w:rsidRPr="00074894">
        <w:rPr>
          <w:rFonts w:cs="Arial"/>
          <w:b/>
          <w:color w:val="17365D" w:themeColor="text2" w:themeShade="BF"/>
          <w:sz w:val="18"/>
          <w:szCs w:val="18"/>
        </w:rPr>
        <w:tab/>
      </w:r>
      <w:hyperlink r:id="rId10" w:history="1">
        <w:r w:rsidR="00074894" w:rsidRPr="00D36DB0">
          <w:rPr>
            <w:rStyle w:val="Hyperlink"/>
            <w:rFonts w:cs="Arial"/>
            <w:b/>
            <w:sz w:val="18"/>
            <w:szCs w:val="18"/>
          </w:rPr>
          <w:t>EUROM DENIS MALOPRODAJA</w:t>
        </w:r>
        <w:r w:rsidRPr="00D36DB0">
          <w:rPr>
            <w:rStyle w:val="Hyperlink"/>
            <w:rFonts w:cs="Arial"/>
            <w:b/>
            <w:sz w:val="18"/>
            <w:szCs w:val="18"/>
          </w:rPr>
          <w:t xml:space="preserve"> d.o.o.</w:t>
        </w:r>
      </w:hyperlink>
      <w:r w:rsidRPr="00074894">
        <w:rPr>
          <w:rFonts w:cs="Arial"/>
          <w:b/>
          <w:color w:val="17365D" w:themeColor="text2" w:themeShade="BF"/>
          <w:sz w:val="18"/>
          <w:szCs w:val="18"/>
        </w:rPr>
        <w:t xml:space="preserve"> na prvom je mjestu među poduzetnicima u djelatnosti NKD 47.</w:t>
      </w:r>
      <w:r w:rsidR="00074894" w:rsidRPr="00074894">
        <w:rPr>
          <w:rFonts w:cs="Arial"/>
          <w:b/>
          <w:color w:val="17365D" w:themeColor="text2" w:themeShade="BF"/>
          <w:sz w:val="18"/>
          <w:szCs w:val="18"/>
        </w:rPr>
        <w:t>65 prema broju zaposlenih u 2016</w:t>
      </w:r>
      <w:r w:rsidRPr="00074894">
        <w:rPr>
          <w:rFonts w:cs="Arial"/>
          <w:b/>
          <w:color w:val="17365D" w:themeColor="text2" w:themeShade="BF"/>
          <w:sz w:val="18"/>
          <w:szCs w:val="18"/>
        </w:rPr>
        <w:t>. godini – niže prikazani podaci objavljeni su na</w:t>
      </w:r>
      <w:r w:rsidRPr="00074894">
        <w:rPr>
          <w:rFonts w:cs="Arial"/>
          <w:color w:val="17365D" w:themeColor="text2" w:themeShade="BF"/>
          <w:sz w:val="18"/>
          <w:szCs w:val="18"/>
        </w:rPr>
        <w:t xml:space="preserve"> </w:t>
      </w:r>
      <w:hyperlink r:id="rId11" w:history="1">
        <w:r w:rsidRPr="00074894">
          <w:rPr>
            <w:rStyle w:val="Hyperlink"/>
            <w:rFonts w:cs="Arial"/>
            <w:color w:val="17365D" w:themeColor="text2" w:themeShade="BF"/>
            <w:sz w:val="18"/>
            <w:szCs w:val="18"/>
          </w:rPr>
          <w:t>Transparentno.hr</w:t>
        </w:r>
      </w:hyperlink>
      <w:r w:rsidRPr="00074894">
        <w:rPr>
          <w:rFonts w:cs="Arial"/>
          <w:color w:val="17365D" w:themeColor="text2" w:themeShade="BF"/>
          <w:sz w:val="18"/>
          <w:szCs w:val="18"/>
          <w:vertAlign w:val="superscript"/>
        </w:rPr>
        <w:footnoteReference w:id="3"/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62"/>
        <w:gridCol w:w="2340"/>
        <w:gridCol w:w="1890"/>
      </w:tblGrid>
      <w:tr w:rsidR="007810BB" w:rsidTr="00530CE8">
        <w:trPr>
          <w:trHeight w:val="283"/>
          <w:jc w:val="center"/>
        </w:trPr>
        <w:tc>
          <w:tcPr>
            <w:tcW w:w="556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Default="006470A9" w:rsidP="00074894">
            <w:pPr>
              <w:widowControl w:val="0"/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7052D3F5" wp14:editId="349A4F12">
                  <wp:extent cx="3476625" cy="11430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512" cy="114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OIB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074894" w:rsidP="00530CE8">
            <w:pPr>
              <w:spacing w:line="240" w:lineRule="auto"/>
              <w:ind w:firstLine="142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44225131109</w:t>
            </w:r>
          </w:p>
        </w:tc>
      </w:tr>
      <w:tr w:rsidR="007810BB" w:rsidTr="00530CE8">
        <w:trPr>
          <w:trHeight w:val="283"/>
          <w:jc w:val="center"/>
        </w:trPr>
        <w:tc>
          <w:tcPr>
            <w:tcW w:w="556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MB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074894" w:rsidP="00530CE8">
            <w:pPr>
              <w:spacing w:line="240" w:lineRule="auto"/>
              <w:ind w:firstLine="142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04109481</w:t>
            </w:r>
          </w:p>
        </w:tc>
      </w:tr>
      <w:tr w:rsidR="007810BB" w:rsidTr="00530CE8">
        <w:trPr>
          <w:trHeight w:val="283"/>
          <w:jc w:val="center"/>
        </w:trPr>
        <w:tc>
          <w:tcPr>
            <w:tcW w:w="556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Veličina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14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Mali</w:t>
            </w:r>
          </w:p>
        </w:tc>
      </w:tr>
      <w:tr w:rsidR="007810BB" w:rsidTr="00530CE8">
        <w:trPr>
          <w:trHeight w:val="283"/>
          <w:jc w:val="center"/>
        </w:trPr>
        <w:tc>
          <w:tcPr>
            <w:tcW w:w="556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Temeljni kapital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074894" w:rsidP="00530CE8">
            <w:pPr>
              <w:spacing w:line="240" w:lineRule="auto"/>
              <w:ind w:firstLine="14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520</w:t>
            </w:r>
            <w:r w:rsidR="007810BB"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.000 kn</w:t>
            </w:r>
          </w:p>
        </w:tc>
      </w:tr>
      <w:tr w:rsidR="007810BB" w:rsidTr="00530CE8">
        <w:trPr>
          <w:trHeight w:val="283"/>
          <w:jc w:val="center"/>
        </w:trPr>
        <w:tc>
          <w:tcPr>
            <w:tcW w:w="556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Korisnik koncesije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right="-108" w:firstLine="14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  <w:tr w:rsidR="007810BB" w:rsidTr="00530CE8">
        <w:trPr>
          <w:trHeight w:val="283"/>
          <w:jc w:val="center"/>
        </w:trPr>
        <w:tc>
          <w:tcPr>
            <w:tcW w:w="556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810BB" w:rsidRDefault="007810BB">
            <w:pPr>
              <w:spacing w:line="240" w:lineRule="auto"/>
              <w:jc w:val="left"/>
              <w:rPr>
                <w:rFonts w:ascii="Calibri" w:hAnsi="Calibri"/>
                <w:noProof/>
                <w:color w:val="auto"/>
                <w:sz w:val="22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7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 xml:space="preserve">U predstečanoj nagodbi </w:t>
            </w:r>
          </w:p>
        </w:tc>
        <w:tc>
          <w:tcPr>
            <w:tcW w:w="1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7810BB" w:rsidRPr="00091825" w:rsidRDefault="007810BB" w:rsidP="00530CE8">
            <w:pPr>
              <w:spacing w:line="240" w:lineRule="auto"/>
              <w:ind w:firstLine="142"/>
              <w:jc w:val="left"/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</w:pPr>
            <w:r w:rsidRPr="00091825">
              <w:rPr>
                <w:rFonts w:cs="Arial"/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</w:tbl>
    <w:p w:rsidR="007810BB" w:rsidRDefault="007810BB" w:rsidP="007810BB">
      <w:pPr>
        <w:jc w:val="left"/>
        <w:rPr>
          <w:i/>
          <w:sz w:val="4"/>
          <w:szCs w:val="16"/>
          <w:lang w:eastAsia="hr-HR"/>
        </w:rPr>
      </w:pPr>
    </w:p>
    <w:p w:rsidR="007810BB" w:rsidRDefault="007810BB" w:rsidP="007810BB">
      <w:pPr>
        <w:rPr>
          <w:i/>
          <w:sz w:val="16"/>
          <w:szCs w:val="16"/>
          <w:lang w:eastAsia="hr-HR"/>
        </w:rPr>
      </w:pPr>
      <w:r>
        <w:rPr>
          <w:i/>
          <w:sz w:val="16"/>
          <w:szCs w:val="16"/>
          <w:lang w:eastAsia="hr-HR"/>
        </w:rPr>
        <w:t xml:space="preserve">Izvor: Financijska agencija – Registar godišnjih financijskih izvještaja, </w:t>
      </w:r>
      <w:hyperlink r:id="rId13" w:history="1">
        <w:r>
          <w:rPr>
            <w:rStyle w:val="Hyperlink"/>
            <w:i/>
            <w:sz w:val="16"/>
            <w:szCs w:val="16"/>
            <w:lang w:eastAsia="hr-HR"/>
          </w:rPr>
          <w:t>Transparentno.hr</w:t>
        </w:r>
      </w:hyperlink>
    </w:p>
    <w:p w:rsidR="00397DE5" w:rsidRDefault="00B609E8" w:rsidP="00397DE5">
      <w:pPr>
        <w:spacing w:before="240"/>
        <w:rPr>
          <w:rFonts w:cs="Arial"/>
          <w:color w:val="17365D" w:themeColor="text2" w:themeShade="BF"/>
          <w:szCs w:val="20"/>
        </w:rPr>
      </w:pPr>
      <w:r w:rsidRPr="00397DE5">
        <w:rPr>
          <w:rFonts w:cs="Arial"/>
          <w:color w:val="17365D" w:themeColor="text2" w:themeShade="BF"/>
          <w:szCs w:val="20"/>
        </w:rPr>
        <w:t>Najveću dobit razdoblja u 2016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. godini </w:t>
      </w:r>
      <w:r w:rsidR="00617F04">
        <w:rPr>
          <w:rFonts w:cs="Arial"/>
          <w:color w:val="17365D" w:themeColor="text2" w:themeShade="BF"/>
          <w:szCs w:val="20"/>
        </w:rPr>
        <w:t>ostvario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 je </w:t>
      </w:r>
      <w:r w:rsidR="00091825" w:rsidRPr="00397DE5">
        <w:rPr>
          <w:rFonts w:cs="Arial"/>
          <w:color w:val="17365D" w:themeColor="text2" w:themeShade="BF"/>
          <w:szCs w:val="20"/>
        </w:rPr>
        <w:t xml:space="preserve">mikro 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poduzetnik </w:t>
      </w:r>
      <w:hyperlink r:id="rId14" w:history="1">
        <w:r w:rsidR="00091825" w:rsidRPr="00D36DB0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POKER PIK</w:t>
        </w:r>
        <w:r w:rsidR="0071745C" w:rsidRPr="00D36DB0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71745C" w:rsidRPr="00397DE5">
        <w:rPr>
          <w:rFonts w:cs="Arial"/>
          <w:color w:val="17365D" w:themeColor="text2" w:themeShade="BF"/>
          <w:szCs w:val="20"/>
        </w:rPr>
        <w:t xml:space="preserve"> </w:t>
      </w:r>
      <w:r w:rsidR="00617F04">
        <w:rPr>
          <w:rFonts w:cs="Arial"/>
          <w:color w:val="17365D" w:themeColor="text2" w:themeShade="BF"/>
          <w:szCs w:val="20"/>
        </w:rPr>
        <w:t>u iznosu od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 </w:t>
      </w:r>
      <w:r w:rsidR="00397DE5" w:rsidRPr="00397DE5">
        <w:rPr>
          <w:rFonts w:cs="Arial"/>
          <w:color w:val="17365D" w:themeColor="text2" w:themeShade="BF"/>
          <w:szCs w:val="20"/>
        </w:rPr>
        <w:t>328,1 tisuću</w:t>
      </w:r>
      <w:r w:rsidR="00A105C5">
        <w:rPr>
          <w:rFonts w:cs="Arial"/>
          <w:color w:val="17365D" w:themeColor="text2" w:themeShade="BF"/>
          <w:szCs w:val="20"/>
        </w:rPr>
        <w:t xml:space="preserve"> kuna, 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odnosno </w:t>
      </w:r>
      <w:r w:rsidR="00397DE5" w:rsidRPr="00397DE5">
        <w:rPr>
          <w:rFonts w:cs="Arial"/>
          <w:color w:val="17365D" w:themeColor="text2" w:themeShade="BF"/>
          <w:szCs w:val="20"/>
        </w:rPr>
        <w:t>29,4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 % dobiti razdoblja </w:t>
      </w:r>
      <w:r w:rsidR="00397DE5" w:rsidRPr="00397DE5">
        <w:rPr>
          <w:rFonts w:cs="Arial"/>
          <w:color w:val="17365D" w:themeColor="text2" w:themeShade="BF"/>
          <w:szCs w:val="20"/>
        </w:rPr>
        <w:t>27</w:t>
      </w:r>
      <w:r w:rsidR="0071745C" w:rsidRPr="00397DE5">
        <w:rPr>
          <w:rFonts w:cs="Arial"/>
          <w:color w:val="17365D" w:themeColor="text2" w:themeShade="BF"/>
          <w:szCs w:val="20"/>
        </w:rPr>
        <w:t xml:space="preserve"> poduzetnika u razredu djelatnosti 47.65. </w:t>
      </w:r>
      <w:r w:rsidR="00397DE5">
        <w:rPr>
          <w:rFonts w:cs="Arial"/>
          <w:color w:val="17365D" w:themeColor="text2" w:themeShade="BF"/>
          <w:szCs w:val="20"/>
        </w:rPr>
        <w:t xml:space="preserve">Na drugom mjestu po dobiti razdoblja bio je mali poduzetnik </w:t>
      </w:r>
      <w:hyperlink r:id="rId15" w:history="1">
        <w:r w:rsidR="00397DE5" w:rsidRPr="00D36DB0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INTEKS PROMET d.o.o.</w:t>
        </w:r>
      </w:hyperlink>
      <w:r w:rsidR="00397DE5">
        <w:rPr>
          <w:rFonts w:cs="Arial"/>
          <w:color w:val="17365D" w:themeColor="text2" w:themeShade="BF"/>
          <w:szCs w:val="20"/>
        </w:rPr>
        <w:t xml:space="preserve"> sa 260 tisuća kuna odnosno 23,3 % dobiti razdoblja. Navedena dva društva nalaze se i među prvih pet subjekta po ukupnom prihodu u 2016. godini u razredu djelatnosti 47.65</w:t>
      </w:r>
      <w:r w:rsidR="00397DE5" w:rsidRPr="00397DE5">
        <w:rPr>
          <w:rFonts w:cs="Arial"/>
          <w:color w:val="17365D" w:themeColor="text2" w:themeShade="BF"/>
          <w:szCs w:val="20"/>
        </w:rPr>
        <w:t xml:space="preserve">. </w:t>
      </w:r>
    </w:p>
    <w:p w:rsidR="007810BB" w:rsidRPr="00397DE5" w:rsidRDefault="0071745C" w:rsidP="00397DE5">
      <w:pPr>
        <w:spacing w:before="120"/>
        <w:rPr>
          <w:rFonts w:cs="Arial"/>
          <w:color w:val="17365D" w:themeColor="text2" w:themeShade="BF"/>
          <w:szCs w:val="20"/>
        </w:rPr>
      </w:pPr>
      <w:r w:rsidRPr="00397DE5">
        <w:rPr>
          <w:rFonts w:cs="Arial"/>
          <w:color w:val="17365D" w:themeColor="text2" w:themeShade="BF"/>
          <w:szCs w:val="20"/>
        </w:rPr>
        <w:t xml:space="preserve">Najveći ukupan prihod </w:t>
      </w:r>
      <w:r w:rsidR="00A105C5">
        <w:rPr>
          <w:rFonts w:cs="Arial"/>
          <w:color w:val="17365D" w:themeColor="text2" w:themeShade="BF"/>
          <w:szCs w:val="20"/>
        </w:rPr>
        <w:t>ostvario</w:t>
      </w:r>
      <w:r w:rsidRPr="00397DE5">
        <w:rPr>
          <w:rFonts w:cs="Arial"/>
          <w:color w:val="17365D" w:themeColor="text2" w:themeShade="BF"/>
          <w:szCs w:val="20"/>
        </w:rPr>
        <w:t xml:space="preserve"> je </w:t>
      </w:r>
      <w:r w:rsidR="00617F04">
        <w:rPr>
          <w:rFonts w:cs="Arial"/>
          <w:color w:val="17365D" w:themeColor="text2" w:themeShade="BF"/>
          <w:szCs w:val="20"/>
        </w:rPr>
        <w:t>mali poduzetnik</w:t>
      </w:r>
      <w:r w:rsidRPr="00397DE5">
        <w:rPr>
          <w:rFonts w:cs="Arial"/>
          <w:color w:val="17365D" w:themeColor="text2" w:themeShade="BF"/>
          <w:szCs w:val="20"/>
        </w:rPr>
        <w:t xml:space="preserve"> </w:t>
      </w:r>
      <w:hyperlink r:id="rId16" w:history="1">
        <w:r w:rsidRPr="00D36DB0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EUROM DENIS MALOPRODAJA d.o.o.</w:t>
        </w:r>
      </w:hyperlink>
      <w:r w:rsidRPr="00397DE5">
        <w:rPr>
          <w:rFonts w:cs="Arial"/>
          <w:color w:val="17365D" w:themeColor="text2" w:themeShade="BF"/>
          <w:szCs w:val="20"/>
        </w:rPr>
        <w:t xml:space="preserve"> i to u iznosu od </w:t>
      </w:r>
      <w:r w:rsidR="00397DE5" w:rsidRPr="00397DE5">
        <w:rPr>
          <w:rFonts w:cs="Arial"/>
          <w:color w:val="17365D" w:themeColor="text2" w:themeShade="BF"/>
          <w:szCs w:val="20"/>
        </w:rPr>
        <w:t>23,4 milijuna kuna (udio od 50,1 % u ukupnom prihodu prvih pet poduzetnika i 44,9 % u prihodu svih poduzetnika razreda</w:t>
      </w:r>
      <w:r w:rsidRPr="00397DE5">
        <w:rPr>
          <w:rFonts w:cs="Arial"/>
          <w:color w:val="17365D" w:themeColor="text2" w:themeShade="BF"/>
          <w:szCs w:val="20"/>
        </w:rPr>
        <w:t>).</w:t>
      </w:r>
    </w:p>
    <w:p w:rsidR="007810BB" w:rsidRPr="00535E44" w:rsidRDefault="007810BB" w:rsidP="00397DE5">
      <w:pPr>
        <w:widowControl w:val="0"/>
        <w:tabs>
          <w:tab w:val="left" w:pos="1134"/>
          <w:tab w:val="left" w:pos="7938"/>
        </w:tabs>
        <w:spacing w:before="240"/>
        <w:rPr>
          <w:rFonts w:cs="Arial"/>
          <w:b/>
          <w:color w:val="17365D" w:themeColor="text2" w:themeShade="BF"/>
          <w:szCs w:val="20"/>
        </w:rPr>
      </w:pPr>
      <w:r w:rsidRPr="00535E44">
        <w:rPr>
          <w:b/>
          <w:color w:val="17365D" w:themeColor="text2" w:themeShade="BF"/>
          <w:sz w:val="18"/>
          <w:szCs w:val="18"/>
          <w:lang w:eastAsia="hr-HR"/>
        </w:rPr>
        <w:t>Tablica 3.</w:t>
      </w:r>
      <w:r w:rsidRPr="00535E44">
        <w:rPr>
          <w:b/>
          <w:color w:val="17365D" w:themeColor="text2" w:themeShade="BF"/>
          <w:sz w:val="18"/>
          <w:szCs w:val="18"/>
          <w:lang w:eastAsia="hr-HR"/>
        </w:rPr>
        <w:tab/>
        <w:t>Top 5 poduz</w:t>
      </w:r>
      <w:r w:rsidR="00A06943" w:rsidRPr="00535E44">
        <w:rPr>
          <w:b/>
          <w:color w:val="17365D" w:themeColor="text2" w:themeShade="BF"/>
          <w:sz w:val="18"/>
          <w:szCs w:val="18"/>
          <w:lang w:eastAsia="hr-HR"/>
        </w:rPr>
        <w:t>etnika po ukupnom prihodu u 2016.</w:t>
      </w:r>
      <w:r w:rsidRPr="00535E44">
        <w:rPr>
          <w:b/>
          <w:color w:val="17365D" w:themeColor="text2" w:themeShade="BF"/>
          <w:sz w:val="18"/>
          <w:szCs w:val="18"/>
          <w:lang w:eastAsia="hr-HR"/>
        </w:rPr>
        <w:t>, u razredu djelatnosti 47.65</w:t>
      </w:r>
      <w:r w:rsidR="00A06943" w:rsidRPr="00535E44">
        <w:rPr>
          <w:b/>
          <w:color w:val="17365D" w:themeColor="text2" w:themeShade="BF"/>
          <w:sz w:val="19"/>
          <w:szCs w:val="19"/>
          <w:lang w:eastAsia="hr-HR"/>
        </w:rPr>
        <w:t xml:space="preserve"> </w:t>
      </w:r>
      <w:r w:rsidR="00A06943" w:rsidRPr="00535E44">
        <w:rPr>
          <w:b/>
          <w:color w:val="17365D" w:themeColor="text2" w:themeShade="BF"/>
          <w:sz w:val="19"/>
          <w:szCs w:val="19"/>
          <w:lang w:eastAsia="hr-HR"/>
        </w:rPr>
        <w:tab/>
      </w:r>
      <w:r w:rsidRPr="00535E44">
        <w:rPr>
          <w:rFonts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510"/>
        <w:gridCol w:w="1331"/>
        <w:gridCol w:w="3484"/>
        <w:gridCol w:w="968"/>
        <w:gridCol w:w="1247"/>
        <w:gridCol w:w="1074"/>
        <w:gridCol w:w="1134"/>
      </w:tblGrid>
      <w:tr w:rsidR="007810BB" w:rsidTr="00DF4A91">
        <w:trPr>
          <w:trHeight w:val="425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0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535E44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366"/>
            <w:vAlign w:val="center"/>
            <w:hideMark/>
          </w:tcPr>
          <w:p w:rsidR="007810BB" w:rsidRDefault="007810BB" w:rsidP="00397DE5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535E44" w:rsidTr="00DF4A91">
        <w:trPr>
          <w:trHeight w:val="283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44225131109</w:t>
            </w:r>
          </w:p>
        </w:tc>
        <w:tc>
          <w:tcPr>
            <w:tcW w:w="348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B50B4B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17" w:history="1">
              <w:r w:rsidR="00535E44" w:rsidRPr="00D36DB0">
                <w:rPr>
                  <w:rStyle w:val="Hyperlink"/>
                  <w:rFonts w:cs="Arial"/>
                  <w:sz w:val="18"/>
                  <w:szCs w:val="18"/>
                </w:rPr>
                <w:t>EUROM DENIS MALOPRODAJA d.o.o.</w:t>
              </w:r>
            </w:hyperlink>
          </w:p>
        </w:tc>
        <w:tc>
          <w:tcPr>
            <w:tcW w:w="968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062512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23.402</w:t>
            </w:r>
          </w:p>
        </w:tc>
        <w:tc>
          <w:tcPr>
            <w:tcW w:w="107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28</w:t>
            </w:r>
          </w:p>
        </w:tc>
      </w:tr>
      <w:tr w:rsidR="00535E44" w:rsidTr="00DF4A91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72438732598</w:t>
            </w:r>
          </w:p>
        </w:tc>
        <w:tc>
          <w:tcPr>
            <w:tcW w:w="34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B50B4B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18" w:history="1">
              <w:r w:rsidR="00535E44" w:rsidRPr="00D36DB0">
                <w:rPr>
                  <w:rStyle w:val="Hyperlink"/>
                  <w:rFonts w:cs="Arial"/>
                  <w:sz w:val="18"/>
                  <w:szCs w:val="18"/>
                </w:rPr>
                <w:t>INTEKS PROMET d.o.o.</w:t>
              </w:r>
            </w:hyperlink>
          </w:p>
        </w:tc>
        <w:tc>
          <w:tcPr>
            <w:tcW w:w="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062512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14.655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260</w:t>
            </w:r>
          </w:p>
        </w:tc>
      </w:tr>
      <w:tr w:rsidR="00535E44" w:rsidTr="00DF4A91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73323157067</w:t>
            </w:r>
          </w:p>
        </w:tc>
        <w:tc>
          <w:tcPr>
            <w:tcW w:w="34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B50B4B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19" w:history="1">
              <w:r w:rsidR="00535E44" w:rsidRPr="00D36DB0">
                <w:rPr>
                  <w:rStyle w:val="Hyperlink"/>
                  <w:rFonts w:cs="Arial"/>
                  <w:sz w:val="18"/>
                  <w:szCs w:val="18"/>
                </w:rPr>
                <w:t>A.D.S. d.o.o.</w:t>
              </w:r>
            </w:hyperlink>
          </w:p>
        </w:tc>
        <w:tc>
          <w:tcPr>
            <w:tcW w:w="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062512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Umag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3.982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124</w:t>
            </w:r>
          </w:p>
        </w:tc>
      </w:tr>
      <w:tr w:rsidR="00535E44" w:rsidTr="00DF4A91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32619970125</w:t>
            </w:r>
          </w:p>
        </w:tc>
        <w:tc>
          <w:tcPr>
            <w:tcW w:w="34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B50B4B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20" w:history="1">
              <w:r w:rsidR="00535E44" w:rsidRPr="00D36DB0">
                <w:rPr>
                  <w:rStyle w:val="Hyperlink"/>
                  <w:rFonts w:cs="Arial"/>
                  <w:sz w:val="18"/>
                  <w:szCs w:val="18"/>
                </w:rPr>
                <w:t>POKER PIK d.o.o.</w:t>
              </w:r>
            </w:hyperlink>
          </w:p>
        </w:tc>
        <w:tc>
          <w:tcPr>
            <w:tcW w:w="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062512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Čakovec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2.636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328</w:t>
            </w:r>
          </w:p>
        </w:tc>
      </w:tr>
      <w:tr w:rsidR="00535E44" w:rsidTr="00DF4A91">
        <w:trPr>
          <w:trHeight w:val="283"/>
          <w:jc w:val="center"/>
        </w:trPr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  <w:hideMark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31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91841941117</w:t>
            </w:r>
          </w:p>
        </w:tc>
        <w:tc>
          <w:tcPr>
            <w:tcW w:w="348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35E44" w:rsidRDefault="00B50B4B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hyperlink r:id="rId21" w:history="1">
              <w:r w:rsidR="00535E44" w:rsidRPr="00D36DB0">
                <w:rPr>
                  <w:rStyle w:val="Hyperlink"/>
                  <w:rFonts w:cs="Arial"/>
                  <w:sz w:val="18"/>
                  <w:szCs w:val="18"/>
                </w:rPr>
                <w:t>PLAVA KUTIJA d.o.o.</w:t>
              </w:r>
            </w:hyperlink>
          </w:p>
        </w:tc>
        <w:tc>
          <w:tcPr>
            <w:tcW w:w="968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35E44" w:rsidRDefault="00062512" w:rsidP="00535E44">
            <w:pPr>
              <w:spacing w:line="240" w:lineRule="auto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2.046</w:t>
            </w:r>
          </w:p>
        </w:tc>
        <w:tc>
          <w:tcPr>
            <w:tcW w:w="107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color w:val="003366"/>
                <w:sz w:val="18"/>
                <w:szCs w:val="18"/>
              </w:rPr>
            </w:pPr>
            <w:r>
              <w:rPr>
                <w:rFonts w:cs="Arial"/>
                <w:color w:val="003366"/>
                <w:sz w:val="18"/>
                <w:szCs w:val="18"/>
              </w:rPr>
              <w:t>47</w:t>
            </w:r>
          </w:p>
        </w:tc>
      </w:tr>
      <w:tr w:rsidR="00535E44" w:rsidTr="00DF4A91">
        <w:trPr>
          <w:trHeight w:val="283"/>
          <w:jc w:val="center"/>
        </w:trPr>
        <w:tc>
          <w:tcPr>
            <w:tcW w:w="62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  <w:hideMark/>
          </w:tcPr>
          <w:p w:rsidR="00535E44" w:rsidRPr="00DF4A91" w:rsidRDefault="00535E44" w:rsidP="00535E44">
            <w:pPr>
              <w:spacing w:line="240" w:lineRule="auto"/>
              <w:jc w:val="left"/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</w:pPr>
            <w:r w:rsidRPr="00DF4A91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>Ukupno top 5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46.722</w:t>
            </w:r>
          </w:p>
        </w:tc>
        <w:tc>
          <w:tcPr>
            <w:tcW w:w="10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535E44" w:rsidRDefault="00535E44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787</w:t>
            </w:r>
          </w:p>
        </w:tc>
      </w:tr>
      <w:tr w:rsidR="007810BB" w:rsidTr="00DF4A91">
        <w:trPr>
          <w:trHeight w:val="283"/>
          <w:jc w:val="center"/>
        </w:trPr>
        <w:tc>
          <w:tcPr>
            <w:tcW w:w="62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  <w:hideMark/>
          </w:tcPr>
          <w:p w:rsidR="007810BB" w:rsidRPr="00DF4A91" w:rsidRDefault="007810BB" w:rsidP="00535E44">
            <w:pPr>
              <w:spacing w:line="240" w:lineRule="auto"/>
              <w:jc w:val="left"/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</w:pPr>
            <w:r w:rsidRPr="00DF4A91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535E44" w:rsidRPr="00DF4A91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>svi po odabranim kriterijima (27</w:t>
            </w:r>
            <w:r w:rsidRPr="00DF4A91">
              <w:rPr>
                <w:rFonts w:cs="Arial"/>
                <w:b/>
                <w:color w:val="003366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7810BB" w:rsidRPr="00535E44" w:rsidRDefault="00535E44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 w:rsidRPr="00535E44">
              <w:rPr>
                <w:rFonts w:cs="Arial"/>
                <w:b/>
                <w:bCs/>
                <w:color w:val="003366"/>
                <w:sz w:val="18"/>
                <w:szCs w:val="18"/>
              </w:rPr>
              <w:t>52.143</w:t>
            </w:r>
          </w:p>
        </w:tc>
        <w:tc>
          <w:tcPr>
            <w:tcW w:w="10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7810BB" w:rsidRPr="00535E44" w:rsidRDefault="00535E44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 w:rsidRPr="00535E44">
              <w:rPr>
                <w:rFonts w:cs="Arial"/>
                <w:b/>
                <w:bCs/>
                <w:color w:val="003366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:rsidR="007810BB" w:rsidRPr="00535E44" w:rsidRDefault="00397DE5" w:rsidP="00535E44">
            <w:pPr>
              <w:spacing w:line="240" w:lineRule="auto"/>
              <w:jc w:val="right"/>
              <w:rPr>
                <w:rFonts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3366"/>
                <w:sz w:val="18"/>
                <w:szCs w:val="18"/>
              </w:rPr>
              <w:t>1.115</w:t>
            </w:r>
          </w:p>
        </w:tc>
      </w:tr>
    </w:tbl>
    <w:p w:rsidR="007810BB" w:rsidRDefault="007810BB" w:rsidP="007810BB">
      <w:pPr>
        <w:spacing w:before="40"/>
        <w:rPr>
          <w:rFonts w:cs="Arial"/>
          <w:i/>
          <w:sz w:val="16"/>
          <w:szCs w:val="16"/>
          <w:lang w:eastAsia="hr-HR"/>
        </w:rPr>
      </w:pPr>
      <w:r>
        <w:rPr>
          <w:rFonts w:cs="Arial"/>
          <w:i/>
          <w:sz w:val="16"/>
          <w:szCs w:val="16"/>
          <w:lang w:eastAsia="hr-HR"/>
        </w:rPr>
        <w:t>Izvor: Fina – Registar godišnjih financijskih izvještaja</w:t>
      </w:r>
    </w:p>
    <w:p w:rsidR="007810BB" w:rsidRPr="00617F04" w:rsidRDefault="007810BB" w:rsidP="00091825">
      <w:pPr>
        <w:spacing w:before="240"/>
        <w:rPr>
          <w:color w:val="17365D" w:themeColor="text2" w:themeShade="BF"/>
          <w:szCs w:val="20"/>
        </w:rPr>
      </w:pPr>
      <w:r w:rsidRPr="00617F04">
        <w:rPr>
          <w:color w:val="17365D" w:themeColor="text2" w:themeShade="BF"/>
          <w:szCs w:val="20"/>
        </w:rPr>
        <w:t>Udio pet poduze</w:t>
      </w:r>
      <w:r w:rsidR="00617F04" w:rsidRPr="00617F04">
        <w:rPr>
          <w:color w:val="17365D" w:themeColor="text2" w:themeShade="BF"/>
          <w:szCs w:val="20"/>
        </w:rPr>
        <w:t xml:space="preserve">tnika s najvećim prihodom u 2016. godini u ukupnim prihodima 27 poduzetnika </w:t>
      </w:r>
      <w:r w:rsidRPr="00617F04">
        <w:rPr>
          <w:color w:val="17365D" w:themeColor="text2" w:themeShade="BF"/>
          <w:szCs w:val="20"/>
        </w:rPr>
        <w:t xml:space="preserve">djelatnosti trgovine na malo igrama i igračkama u specijaliziranim prodavaonicama, bio je </w:t>
      </w:r>
      <w:r w:rsidR="00617F04" w:rsidRPr="00617F04">
        <w:rPr>
          <w:color w:val="17365D" w:themeColor="text2" w:themeShade="BF"/>
          <w:szCs w:val="20"/>
        </w:rPr>
        <w:t xml:space="preserve">89,6 </w:t>
      </w:r>
      <w:r w:rsidRPr="00617F04">
        <w:rPr>
          <w:color w:val="17365D" w:themeColor="text2" w:themeShade="BF"/>
          <w:szCs w:val="20"/>
        </w:rPr>
        <w:t>%.</w:t>
      </w:r>
    </w:p>
    <w:p w:rsidR="00617F04" w:rsidRPr="00A105C5" w:rsidRDefault="00617F04" w:rsidP="007810BB">
      <w:pPr>
        <w:spacing w:before="120"/>
        <w:rPr>
          <w:rFonts w:cs="Arial"/>
          <w:color w:val="17365D" w:themeColor="text2" w:themeShade="BF"/>
          <w:szCs w:val="20"/>
        </w:rPr>
      </w:pPr>
      <w:r w:rsidRPr="00A105C5">
        <w:rPr>
          <w:rFonts w:cs="Arial"/>
          <w:color w:val="17365D" w:themeColor="text2" w:themeShade="BF"/>
          <w:szCs w:val="20"/>
        </w:rPr>
        <w:t xml:space="preserve">Najveći gubitak razdoblja u 2016. godini </w:t>
      </w:r>
      <w:r w:rsidR="00A105C5" w:rsidRPr="00A105C5">
        <w:rPr>
          <w:rFonts w:cs="Arial"/>
          <w:color w:val="17365D" w:themeColor="text2" w:themeShade="BF"/>
          <w:szCs w:val="20"/>
        </w:rPr>
        <w:t xml:space="preserve">iskazao je mikro poduzetnik </w:t>
      </w:r>
      <w:hyperlink r:id="rId22" w:history="1">
        <w:r w:rsidR="00A105C5" w:rsidRPr="00D36DB0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ONE2PLAY MALOPRODAJA d.o.o.</w:t>
        </w:r>
      </w:hyperlink>
      <w:r w:rsidR="00A105C5" w:rsidRPr="00A105C5">
        <w:rPr>
          <w:rFonts w:cs="Arial"/>
          <w:color w:val="17365D" w:themeColor="text2" w:themeShade="BF"/>
          <w:szCs w:val="20"/>
        </w:rPr>
        <w:t xml:space="preserve"> u stečaju</w:t>
      </w:r>
      <w:r w:rsidR="00A105C5">
        <w:rPr>
          <w:rStyle w:val="FootnoteReference"/>
          <w:rFonts w:cs="Arial"/>
          <w:color w:val="17365D" w:themeColor="text2" w:themeShade="BF"/>
          <w:szCs w:val="20"/>
        </w:rPr>
        <w:footnoteReference w:id="4"/>
      </w:r>
      <w:r w:rsidR="00DF4A91">
        <w:rPr>
          <w:rFonts w:cs="Arial"/>
          <w:color w:val="17365D" w:themeColor="text2" w:themeShade="BF"/>
          <w:szCs w:val="20"/>
        </w:rPr>
        <w:t xml:space="preserve"> </w:t>
      </w:r>
      <w:r w:rsidR="00A105C5" w:rsidRPr="00A105C5">
        <w:rPr>
          <w:rFonts w:cs="Arial"/>
          <w:color w:val="17365D" w:themeColor="text2" w:themeShade="BF"/>
          <w:szCs w:val="20"/>
        </w:rPr>
        <w:t>od 524,1 tisuću kuna. Društvo je osnovano 12.</w:t>
      </w:r>
      <w:r w:rsidR="00DF4A91">
        <w:rPr>
          <w:rFonts w:cs="Arial"/>
          <w:color w:val="17365D" w:themeColor="text2" w:themeShade="BF"/>
          <w:szCs w:val="20"/>
        </w:rPr>
        <w:t xml:space="preserve"> studenoga </w:t>
      </w:r>
      <w:r w:rsidR="00A105C5" w:rsidRPr="00A105C5">
        <w:rPr>
          <w:rFonts w:cs="Arial"/>
          <w:color w:val="17365D" w:themeColor="text2" w:themeShade="BF"/>
          <w:szCs w:val="20"/>
        </w:rPr>
        <w:t xml:space="preserve">2012. godine u postupku odvajanja od društva </w:t>
      </w:r>
      <w:hyperlink r:id="rId23" w:history="1">
        <w:r w:rsidR="00252F79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ONE2PLAY</w:t>
        </w:r>
        <w:r w:rsidR="00A105C5" w:rsidRPr="00252F79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DF4A91">
        <w:rPr>
          <w:rFonts w:cs="Arial"/>
          <w:color w:val="17365D" w:themeColor="text2" w:themeShade="BF"/>
          <w:szCs w:val="20"/>
        </w:rPr>
        <w:t xml:space="preserve"> za proizvodnju i trgovinu</w:t>
      </w:r>
      <w:r w:rsidR="00A105C5" w:rsidRPr="00A105C5">
        <w:rPr>
          <w:rFonts w:cs="Arial"/>
          <w:color w:val="17365D" w:themeColor="text2" w:themeShade="BF"/>
          <w:szCs w:val="20"/>
        </w:rPr>
        <w:t>.</w:t>
      </w:r>
    </w:p>
    <w:p w:rsidR="0060233C" w:rsidRPr="00217E8A" w:rsidRDefault="007810BB" w:rsidP="0060233C">
      <w:pPr>
        <w:spacing w:before="120"/>
        <w:rPr>
          <w:rFonts w:cs="Arial"/>
          <w:color w:val="17365D" w:themeColor="text2" w:themeShade="BF"/>
          <w:szCs w:val="20"/>
        </w:rPr>
      </w:pPr>
      <w:r w:rsidRPr="006C7F72">
        <w:rPr>
          <w:rFonts w:cs="Arial"/>
          <w:color w:val="17365D" w:themeColor="text2" w:themeShade="BF"/>
          <w:szCs w:val="20"/>
        </w:rPr>
        <w:t>U niž</w:t>
      </w:r>
      <w:r w:rsidR="00217E8A" w:rsidRPr="006C7F72">
        <w:rPr>
          <w:rFonts w:cs="Arial"/>
          <w:color w:val="17365D" w:themeColor="text2" w:themeShade="BF"/>
          <w:szCs w:val="20"/>
        </w:rPr>
        <w:t>e navedenom grafikonu uspoređena</w:t>
      </w:r>
      <w:r w:rsidRPr="006C7F72">
        <w:rPr>
          <w:rFonts w:cs="Arial"/>
          <w:color w:val="17365D" w:themeColor="text2" w:themeShade="BF"/>
          <w:szCs w:val="20"/>
        </w:rPr>
        <w:t xml:space="preserve"> su </w:t>
      </w:r>
      <w:r w:rsidR="00217E8A" w:rsidRPr="006C7F72">
        <w:rPr>
          <w:rFonts w:cs="Arial"/>
          <w:color w:val="17365D" w:themeColor="text2" w:themeShade="BF"/>
          <w:szCs w:val="20"/>
        </w:rPr>
        <w:t>dva poduzetnika</w:t>
      </w:r>
      <w:r w:rsidRPr="006C7F72">
        <w:rPr>
          <w:rFonts w:cs="Arial"/>
          <w:color w:val="17365D" w:themeColor="text2" w:themeShade="BF"/>
          <w:szCs w:val="20"/>
        </w:rPr>
        <w:t xml:space="preserve"> s najvećim prihodom iz razreda djelatnosti NKD 47.65 prema produktivnosti u </w:t>
      </w:r>
      <w:r w:rsidR="00217E8A" w:rsidRPr="006C7F72">
        <w:rPr>
          <w:rFonts w:cs="Arial"/>
          <w:color w:val="17365D" w:themeColor="text2" w:themeShade="BF"/>
          <w:szCs w:val="20"/>
        </w:rPr>
        <w:t>razdoblju od 2011. do 2016. godine</w:t>
      </w:r>
      <w:r w:rsidRPr="006C7F72">
        <w:rPr>
          <w:rFonts w:cs="Arial"/>
          <w:color w:val="17365D" w:themeColor="text2" w:themeShade="BF"/>
          <w:szCs w:val="20"/>
        </w:rPr>
        <w:t xml:space="preserve">. </w:t>
      </w:r>
      <w:r w:rsidR="00217E8A" w:rsidRPr="006C7F72">
        <w:rPr>
          <w:rFonts w:cs="Arial"/>
          <w:color w:val="17365D" w:themeColor="text2" w:themeShade="BF"/>
          <w:szCs w:val="20"/>
        </w:rPr>
        <w:t xml:space="preserve">U 2016. godini poduzetnik </w:t>
      </w:r>
      <w:hyperlink r:id="rId24" w:history="1">
        <w:r w:rsidR="00217E8A" w:rsidRPr="00252F79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INTEKS </w:t>
        </w:r>
        <w:r w:rsidR="00217E8A" w:rsidRPr="00252F79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lastRenderedPageBreak/>
          <w:t>PROMET d.o.o.</w:t>
        </w:r>
      </w:hyperlink>
      <w:r w:rsidR="00217E8A" w:rsidRPr="006C7F72">
        <w:rPr>
          <w:rFonts w:cs="Arial"/>
          <w:color w:val="17365D" w:themeColor="text2" w:themeShade="BF"/>
          <w:szCs w:val="20"/>
        </w:rPr>
        <w:t xml:space="preserve"> ostvario je produktivnost od 610.632 kune, a </w:t>
      </w:r>
      <w:hyperlink r:id="rId25" w:history="1">
        <w:r w:rsidR="00217E8A" w:rsidRPr="00252F79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EUROM DENIS MALOPRODAJA d.o.o.</w:t>
        </w:r>
      </w:hyperlink>
      <w:r w:rsidR="00217E8A" w:rsidRPr="006C7F72">
        <w:rPr>
          <w:rFonts w:cs="Arial"/>
          <w:color w:val="17365D" w:themeColor="text2" w:themeShade="BF"/>
          <w:szCs w:val="20"/>
        </w:rPr>
        <w:t xml:space="preserve"> produktivnost od 329.602 kune. </w:t>
      </w:r>
      <w:r w:rsidR="0060233C" w:rsidRPr="00217E8A">
        <w:rPr>
          <w:rFonts w:cs="Arial"/>
          <w:color w:val="17365D" w:themeColor="text2" w:themeShade="BF"/>
          <w:szCs w:val="20"/>
        </w:rPr>
        <w:t xml:space="preserve">Društvo </w:t>
      </w:r>
      <w:hyperlink r:id="rId26" w:history="1">
        <w:r w:rsidR="0060233C" w:rsidRPr="00252F79">
          <w:rPr>
            <w:rStyle w:val="Hyperlink"/>
            <w:rFonts w:cs="Arial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EURODOM DENIS MALOPRODAJA</w:t>
        </w:r>
      </w:hyperlink>
      <w:r w:rsidR="0060233C" w:rsidRPr="00217E8A">
        <w:rPr>
          <w:rFonts w:cs="Arial"/>
          <w:color w:val="17365D" w:themeColor="text2" w:themeShade="BF"/>
          <w:szCs w:val="20"/>
        </w:rPr>
        <w:t xml:space="preserve"> d.o.o. osnovano je 4.</w:t>
      </w:r>
      <w:r w:rsidR="0060233C">
        <w:rPr>
          <w:rFonts w:cs="Arial"/>
          <w:color w:val="17365D" w:themeColor="text2" w:themeShade="BF"/>
          <w:szCs w:val="20"/>
        </w:rPr>
        <w:t xml:space="preserve"> listopada </w:t>
      </w:r>
      <w:r w:rsidR="0060233C" w:rsidRPr="00217E8A">
        <w:rPr>
          <w:rFonts w:cs="Arial"/>
          <w:color w:val="17365D" w:themeColor="text2" w:themeShade="BF"/>
          <w:szCs w:val="20"/>
        </w:rPr>
        <w:t>2013.</w:t>
      </w:r>
      <w:r w:rsidR="0060233C">
        <w:rPr>
          <w:rFonts w:cs="Arial"/>
          <w:color w:val="17365D" w:themeColor="text2" w:themeShade="BF"/>
          <w:szCs w:val="20"/>
        </w:rPr>
        <w:t xml:space="preserve"> godine te iz toga razloga </w:t>
      </w:r>
      <w:r w:rsidR="0060233C" w:rsidRPr="00217E8A">
        <w:rPr>
          <w:rFonts w:cs="Arial"/>
          <w:color w:val="17365D" w:themeColor="text2" w:themeShade="BF"/>
          <w:szCs w:val="20"/>
        </w:rPr>
        <w:t>u grafikonu nisu iskazani podaci</w:t>
      </w:r>
      <w:r w:rsidR="0060233C">
        <w:rPr>
          <w:rFonts w:cs="Arial"/>
          <w:color w:val="17365D" w:themeColor="text2" w:themeShade="BF"/>
          <w:szCs w:val="20"/>
        </w:rPr>
        <w:t xml:space="preserve"> za 2011. i 2012. godinu.</w:t>
      </w:r>
    </w:p>
    <w:p w:rsidR="007810BB" w:rsidRPr="00BD1718" w:rsidRDefault="007810BB" w:rsidP="0060233C">
      <w:pPr>
        <w:widowControl w:val="0"/>
        <w:tabs>
          <w:tab w:val="left" w:pos="1134"/>
        </w:tabs>
        <w:spacing w:before="180"/>
        <w:ind w:left="1134" w:hanging="1134"/>
        <w:rPr>
          <w:rFonts w:cs="Arial"/>
          <w:color w:val="17365D" w:themeColor="text2" w:themeShade="BF"/>
          <w:sz w:val="18"/>
          <w:szCs w:val="18"/>
          <w:lang w:eastAsia="hr-HR"/>
        </w:rPr>
      </w:pPr>
      <w:r w:rsidRPr="00BD1718">
        <w:rPr>
          <w:rFonts w:cs="Arial"/>
          <w:b/>
          <w:color w:val="17365D" w:themeColor="text2" w:themeShade="BF"/>
          <w:sz w:val="18"/>
          <w:szCs w:val="18"/>
        </w:rPr>
        <w:t>Grafikon 1.</w:t>
      </w:r>
      <w:r w:rsidRPr="00BD1718">
        <w:rPr>
          <w:rFonts w:cs="Arial"/>
          <w:b/>
          <w:color w:val="17365D" w:themeColor="text2" w:themeShade="BF"/>
          <w:sz w:val="18"/>
          <w:szCs w:val="18"/>
        </w:rPr>
        <w:tab/>
        <w:t xml:space="preserve">Usporedni prikaz produktivnosti </w:t>
      </w:r>
      <w:r w:rsidR="004026B9" w:rsidRPr="00BD1718">
        <w:rPr>
          <w:rFonts w:cs="Arial"/>
          <w:b/>
          <w:color w:val="17365D" w:themeColor="text2" w:themeShade="BF"/>
          <w:sz w:val="18"/>
          <w:szCs w:val="18"/>
        </w:rPr>
        <w:t>prva dva</w:t>
      </w:r>
      <w:r w:rsidRPr="00BD1718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BD1718" w:rsidRPr="00BD1718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u 2016. </w:t>
      </w:r>
      <w:r w:rsidRPr="00BD1718">
        <w:rPr>
          <w:rFonts w:cs="Arial"/>
          <w:b/>
          <w:color w:val="17365D" w:themeColor="text2" w:themeShade="BF"/>
          <w:sz w:val="18"/>
          <w:szCs w:val="18"/>
          <w:lang w:eastAsia="hr-HR"/>
        </w:rPr>
        <w:t>po ukupnom pr</w:t>
      </w:r>
      <w:r w:rsidR="004026B9" w:rsidRPr="00BD1718">
        <w:rPr>
          <w:rFonts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BD1718" w:rsidRPr="00BD1718">
        <w:rPr>
          <w:rFonts w:cs="Arial"/>
          <w:b/>
          <w:color w:val="17365D" w:themeColor="text2" w:themeShade="BF"/>
          <w:sz w:val="18"/>
          <w:szCs w:val="18"/>
          <w:lang w:eastAsia="hr-HR"/>
        </w:rPr>
        <w:t>hodu u djelat</w:t>
      </w:r>
      <w:r w:rsidR="00DF4A91">
        <w:rPr>
          <w:rFonts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BD1718" w:rsidRPr="00BD1718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47.65</w:t>
      </w:r>
    </w:p>
    <w:p w:rsidR="00BD1718" w:rsidRDefault="00BD1718" w:rsidP="00DF4A91">
      <w:pPr>
        <w:widowControl w:val="0"/>
        <w:jc w:val="left"/>
        <w:rPr>
          <w:rFonts w:cs="Arial"/>
          <w:i/>
          <w:noProof/>
          <w:color w:val="17365D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0F84BF00" wp14:editId="36A6B922">
            <wp:extent cx="5976518" cy="2948026"/>
            <wp:effectExtent l="0" t="0" r="5715" b="508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/>
                    <a:srcRect t="4818" b="2721"/>
                    <a:stretch/>
                  </pic:blipFill>
                  <pic:spPr bwMode="auto">
                    <a:xfrm>
                      <a:off x="0" y="0"/>
                      <a:ext cx="5972810" cy="2946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0BB" w:rsidRDefault="007810BB" w:rsidP="007810BB">
      <w:pPr>
        <w:widowControl w:val="0"/>
        <w:spacing w:before="40"/>
        <w:rPr>
          <w:rFonts w:cs="Arial"/>
          <w:color w:val="17365D"/>
          <w:szCs w:val="20"/>
          <w:lang w:eastAsia="hr-HR"/>
        </w:rPr>
      </w:pPr>
      <w:r>
        <w:rPr>
          <w:rFonts w:cs="Arial"/>
          <w:i/>
          <w:noProof/>
          <w:color w:val="17365D"/>
          <w:sz w:val="16"/>
          <w:szCs w:val="16"/>
          <w:lang w:eastAsia="hr-HR"/>
        </w:rPr>
        <w:t xml:space="preserve">Izvor: Fina, servis </w:t>
      </w:r>
      <w:hyperlink r:id="rId28" w:history="1">
        <w:r>
          <w:rPr>
            <w:rStyle w:val="Hyperlink"/>
            <w:rFonts w:cs="Arial"/>
            <w:i/>
            <w:noProof/>
            <w:sz w:val="16"/>
            <w:szCs w:val="16"/>
            <w:lang w:eastAsia="hr-HR"/>
          </w:rPr>
          <w:t>info.BIZ</w:t>
        </w:r>
      </w:hyperlink>
    </w:p>
    <w:p w:rsidR="007810BB" w:rsidRDefault="007810BB" w:rsidP="007810BB">
      <w:pPr>
        <w:pBdr>
          <w:bottom w:val="single" w:sz="12" w:space="9" w:color="auto"/>
        </w:pBdr>
        <w:spacing w:line="240" w:lineRule="auto"/>
        <w:jc w:val="left"/>
        <w:rPr>
          <w:i/>
          <w:sz w:val="2"/>
          <w:szCs w:val="16"/>
          <w:lang w:eastAsia="hr-HR"/>
        </w:rPr>
      </w:pPr>
    </w:p>
    <w:p w:rsidR="006C7F72" w:rsidRPr="006C7F72" w:rsidRDefault="006C7F72" w:rsidP="006C7F72">
      <w:pPr>
        <w:spacing w:before="120" w:line="240" w:lineRule="auto"/>
        <w:rPr>
          <w:rFonts w:cs="Arial"/>
          <w:i/>
          <w:color w:val="17365D"/>
          <w:sz w:val="17"/>
          <w:szCs w:val="17"/>
          <w:lang w:eastAsia="hr-HR"/>
        </w:rPr>
      </w:pPr>
      <w:r w:rsidRPr="006C7F72">
        <w:rPr>
          <w:rFonts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9" w:history="1">
        <w:r w:rsidRPr="006C7F72">
          <w:rPr>
            <w:rFonts w:cs="Arial"/>
            <w:i/>
            <w:color w:val="0000BF"/>
            <w:sz w:val="17"/>
            <w:szCs w:val="17"/>
            <w:u w:val="single"/>
            <w:lang w:eastAsia="hr-HR"/>
          </w:rPr>
          <w:t>standardnim analizama</w:t>
        </w:r>
      </w:hyperlink>
      <w:r w:rsidRPr="006C7F72">
        <w:rPr>
          <w:rFonts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2016. g. </w:t>
      </w:r>
    </w:p>
    <w:p w:rsidR="006C7F72" w:rsidRPr="006C7F72" w:rsidRDefault="006C7F72" w:rsidP="006C7F72">
      <w:pPr>
        <w:spacing w:before="120" w:line="240" w:lineRule="auto"/>
        <w:rPr>
          <w:rFonts w:eastAsia="Calibri" w:cs="Arial"/>
          <w:i/>
          <w:color w:val="0000FF"/>
          <w:sz w:val="17"/>
          <w:szCs w:val="17"/>
          <w:u w:val="single"/>
          <w:lang w:eastAsia="hr-HR"/>
        </w:rPr>
      </w:pPr>
      <w:r w:rsidRPr="006C7F72">
        <w:rPr>
          <w:rFonts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6C7F72">
        <w:rPr>
          <w:rFonts w:eastAsia="Calibri" w:cs="Arial"/>
          <w:i/>
          <w:color w:val="17365D"/>
          <w:sz w:val="17"/>
          <w:szCs w:val="17"/>
          <w:lang w:eastAsia="hr-HR"/>
        </w:rPr>
        <w:t xml:space="preserve"> </w:t>
      </w:r>
      <w:hyperlink r:id="rId30" w:history="1">
        <w:r w:rsidRPr="006C7F72">
          <w:rPr>
            <w:rFonts w:eastAsia="Calibri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6C7F72">
        <w:rPr>
          <w:rFonts w:eastAsia="Calibri" w:cs="Arial"/>
          <w:i/>
          <w:color w:val="0F243E"/>
          <w:sz w:val="17"/>
          <w:szCs w:val="17"/>
          <w:lang w:eastAsia="hr-HR"/>
        </w:rPr>
        <w:t xml:space="preserve"> </w:t>
      </w:r>
      <w:r w:rsidRPr="006C7F72">
        <w:rPr>
          <w:rFonts w:cs="Arial"/>
          <w:i/>
          <w:color w:val="17375E"/>
          <w:sz w:val="17"/>
          <w:szCs w:val="17"/>
          <w:lang w:eastAsia="hr-HR"/>
        </w:rPr>
        <w:t>i na</w:t>
      </w:r>
      <w:r w:rsidRPr="006C7F72">
        <w:rPr>
          <w:rFonts w:eastAsia="Calibri" w:cs="Arial"/>
          <w:i/>
          <w:color w:val="0F243E"/>
          <w:sz w:val="17"/>
          <w:szCs w:val="17"/>
          <w:lang w:eastAsia="hr-HR"/>
        </w:rPr>
        <w:t xml:space="preserve"> </w:t>
      </w:r>
      <w:hyperlink r:id="rId31" w:history="1">
        <w:r w:rsidRPr="006C7F72">
          <w:rPr>
            <w:rFonts w:eastAsia="Calibri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</w:p>
    <w:p w:rsidR="007810BB" w:rsidRDefault="006C7F72" w:rsidP="006C7F72">
      <w:pPr>
        <w:spacing w:before="120" w:after="360" w:line="240" w:lineRule="auto"/>
        <w:rPr>
          <w:rFonts w:cs="Arial"/>
          <w:bCs/>
          <w:i/>
          <w:color w:val="17365D"/>
          <w:sz w:val="18"/>
          <w:szCs w:val="18"/>
        </w:rPr>
      </w:pPr>
      <w:r w:rsidRPr="006C7F72">
        <w:rPr>
          <w:rFonts w:eastAsia="Calibri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32" w:history="1">
        <w:r w:rsidRPr="006C7F72">
          <w:rPr>
            <w:rFonts w:eastAsia="Calibri" w:cs="Arial"/>
            <w:bCs/>
            <w:i/>
            <w:color w:val="0000BF"/>
            <w:sz w:val="17"/>
            <w:szCs w:val="17"/>
            <w:u w:val="single"/>
          </w:rPr>
          <w:t>FINA InfoBlokade</w:t>
        </w:r>
      </w:hyperlink>
      <w:r w:rsidRPr="006C7F72">
        <w:rPr>
          <w:rFonts w:eastAsia="Calibri" w:cs="Arial"/>
          <w:bCs/>
          <w:i/>
          <w:color w:val="17365D"/>
          <w:sz w:val="17"/>
          <w:szCs w:val="17"/>
        </w:rPr>
        <w:t xml:space="preserve"> slanjem SMS poruku na broj 818058. te korištenjem </w:t>
      </w:r>
      <w:hyperlink r:id="rId33" w:history="1">
        <w:r w:rsidRPr="006C7F72">
          <w:rPr>
            <w:rFonts w:eastAsia="Calibri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6C7F72">
        <w:rPr>
          <w:rFonts w:eastAsia="Calibri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34" w:history="1">
        <w:r w:rsidRPr="006C7F72">
          <w:rPr>
            <w:rFonts w:eastAsia="Calibri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6C7F72">
        <w:rPr>
          <w:rFonts w:eastAsia="Calibri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tbl>
      <w:tblPr>
        <w:tblW w:w="10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0A0" w:firstRow="1" w:lastRow="0" w:firstColumn="1" w:lastColumn="0" w:noHBand="0" w:noVBand="0"/>
      </w:tblPr>
      <w:tblGrid>
        <w:gridCol w:w="3819"/>
        <w:gridCol w:w="2511"/>
        <w:gridCol w:w="3818"/>
      </w:tblGrid>
      <w:tr w:rsidR="007810BB" w:rsidTr="007810BB">
        <w:tc>
          <w:tcPr>
            <w:tcW w:w="38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7810BB" w:rsidRDefault="007810BB">
            <w:pPr>
              <w:spacing w:before="120"/>
              <w:jc w:val="center"/>
              <w:rPr>
                <w:rFonts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6A5F74B2" wp14:editId="6B0CBD29">
                  <wp:extent cx="2009775" cy="1571625"/>
                  <wp:effectExtent l="0" t="0" r="9525" b="9525"/>
                  <wp:docPr id="6" name="Slika 6" descr="Fina info šasija_210x270.jpg">
                    <a:hlinkClick xmlns:a="http://schemas.openxmlformats.org/drawingml/2006/main" r:id="rId35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na info šasija_210x270.jpg">
                            <a:hlinkClick r:id="rId35" tooltip="&quot;&quot; t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7810BB" w:rsidRDefault="006C7F72">
            <w:pPr>
              <w:spacing w:before="120"/>
              <w:jc w:val="center"/>
              <w:rPr>
                <w:rFonts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cs="Arial"/>
                <w:bCs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5E7DE91E">
                  <wp:extent cx="1457325" cy="1707203"/>
                  <wp:effectExtent l="0" t="0" r="0" b="762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472" cy="1712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7810BB" w:rsidRDefault="007810BB">
            <w:pPr>
              <w:spacing w:before="120"/>
              <w:jc w:val="center"/>
              <w:rPr>
                <w:rFonts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5AA516C8" wp14:editId="0A67E5EE">
                  <wp:extent cx="2009775" cy="1571625"/>
                  <wp:effectExtent l="0" t="0" r="9525" b="9525"/>
                  <wp:docPr id="8" name="Picture 2" descr="smsBlokade_210x270.jpg">
                    <a:hlinkClick xmlns:a="http://schemas.openxmlformats.org/drawingml/2006/main" r:id="rId38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sBlokade_210x270.jpg">
                            <a:hlinkClick r:id="rId38" tooltip="&quot;FINA InfoBlokade&quot; t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281F" w:rsidRDefault="0087281F"/>
    <w:sectPr w:rsidR="0087281F" w:rsidSect="007810BB">
      <w:headerReference w:type="default" r:id="rId40"/>
      <w:pgSz w:w="11906" w:h="16838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4B" w:rsidRDefault="00B50B4B" w:rsidP="007810BB">
      <w:pPr>
        <w:spacing w:line="240" w:lineRule="auto"/>
      </w:pPr>
      <w:r>
        <w:separator/>
      </w:r>
    </w:p>
  </w:endnote>
  <w:endnote w:type="continuationSeparator" w:id="0">
    <w:p w:rsidR="00B50B4B" w:rsidRDefault="00B50B4B" w:rsidP="00781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4B" w:rsidRDefault="00B50B4B" w:rsidP="007810BB">
      <w:pPr>
        <w:spacing w:line="240" w:lineRule="auto"/>
      </w:pPr>
      <w:r>
        <w:separator/>
      </w:r>
    </w:p>
  </w:footnote>
  <w:footnote w:type="continuationSeparator" w:id="0">
    <w:p w:rsidR="00B50B4B" w:rsidRDefault="00B50B4B" w:rsidP="007810BB">
      <w:pPr>
        <w:spacing w:line="240" w:lineRule="auto"/>
      </w:pPr>
      <w:r>
        <w:continuationSeparator/>
      </w:r>
    </w:p>
  </w:footnote>
  <w:footnote w:id="1">
    <w:p w:rsidR="007810BB" w:rsidRDefault="007810BB" w:rsidP="007810BB">
      <w:pPr>
        <w:pStyle w:val="FootnoteText"/>
      </w:pPr>
      <w:r>
        <w:rPr>
          <w:rStyle w:val="FootnoteReference"/>
          <w:color w:val="244061"/>
          <w:sz w:val="17"/>
          <w:szCs w:val="17"/>
        </w:rPr>
        <w:footnoteRef/>
      </w:r>
      <w:r>
        <w:rPr>
          <w:color w:val="244061"/>
          <w:sz w:val="17"/>
          <w:szCs w:val="17"/>
        </w:rPr>
        <w:t xml:space="preserve"> </w:t>
      </w:r>
      <w:bookmarkStart w:id="1" w:name="OLE_LINK1"/>
      <w:r>
        <w:rPr>
          <w:rFonts w:cs="Arial"/>
          <w:color w:val="244061"/>
          <w:sz w:val="17"/>
          <w:szCs w:val="17"/>
        </w:rPr>
        <w:t>Serija podataka u tablici za sve godine prikazana je iz godišnjeg financijskog izvještaja iz kolone tekuće godine.</w:t>
      </w:r>
      <w:bookmarkEnd w:id="1"/>
    </w:p>
  </w:footnote>
  <w:footnote w:id="2">
    <w:p w:rsidR="007810BB" w:rsidRDefault="007810BB" w:rsidP="007810BB">
      <w:pPr>
        <w:pStyle w:val="FootnoteText"/>
        <w:spacing w:before="20"/>
      </w:pPr>
      <w:r>
        <w:rPr>
          <w:rStyle w:val="FootnoteReference"/>
          <w:color w:val="244061"/>
          <w:sz w:val="17"/>
          <w:szCs w:val="17"/>
        </w:rPr>
        <w:footnoteRef/>
      </w:r>
      <w:r>
        <w:rPr>
          <w:color w:val="244061"/>
          <w:sz w:val="17"/>
          <w:szCs w:val="17"/>
        </w:rPr>
        <w:t xml:space="preserve"> </w:t>
      </w:r>
      <w:r>
        <w:rPr>
          <w:rFonts w:cs="Arial"/>
          <w:color w:val="244061"/>
          <w:sz w:val="17"/>
          <w:szCs w:val="17"/>
        </w:rPr>
        <w:t>Područje djelatnosti G - trgovina na veliko i malo, odjeljak 47 – Trgovina na malo, osim trgovine motornim vozilima i motociklima.</w:t>
      </w:r>
    </w:p>
  </w:footnote>
  <w:footnote w:id="3">
    <w:p w:rsidR="007810BB" w:rsidRDefault="007810BB" w:rsidP="00DF4A91">
      <w:pPr>
        <w:pStyle w:val="FootnoteText"/>
        <w:jc w:val="left"/>
      </w:pPr>
      <w:r>
        <w:rPr>
          <w:rStyle w:val="FootnoteReference"/>
          <w:rFonts w:cs="Arial"/>
          <w:color w:val="244061"/>
          <w:sz w:val="17"/>
          <w:szCs w:val="17"/>
        </w:rPr>
        <w:footnoteRef/>
      </w:r>
      <w:r>
        <w:rPr>
          <w:rFonts w:cs="Arial"/>
          <w:color w:val="244061"/>
          <w:sz w:val="17"/>
          <w:szCs w:val="17"/>
        </w:rPr>
        <w:t xml:space="preserve"> Kakvi su osnovni financijski rezultati poslovanja poduzetnika te kolike su prosječne mjesečne neto plaće možete saznati na </w:t>
      </w:r>
      <w:hyperlink r:id="rId1" w:history="1">
        <w:r>
          <w:rPr>
            <w:rStyle w:val="Hyperlink"/>
            <w:rFonts w:cs="Arial"/>
            <w:sz w:val="17"/>
            <w:szCs w:val="17"/>
          </w:rPr>
          <w:t>Transparentno.hr</w:t>
        </w:r>
      </w:hyperlink>
      <w:r>
        <w:rPr>
          <w:rFonts w:cs="Arial"/>
          <w:color w:val="244061"/>
          <w:sz w:val="17"/>
          <w:szCs w:val="17"/>
        </w:rPr>
        <w:t>, jednostavno i bez novca, koristeći VINGD bodove.</w:t>
      </w:r>
    </w:p>
  </w:footnote>
  <w:footnote w:id="4">
    <w:p w:rsidR="00A105C5" w:rsidRPr="00530CE8" w:rsidRDefault="00A105C5" w:rsidP="00DF4A91">
      <w:pPr>
        <w:pStyle w:val="FootnoteText"/>
        <w:spacing w:before="40"/>
        <w:jc w:val="left"/>
        <w:rPr>
          <w:rFonts w:cs="Arial"/>
          <w:color w:val="003366"/>
          <w:sz w:val="17"/>
          <w:szCs w:val="17"/>
        </w:rPr>
      </w:pPr>
      <w:r>
        <w:rPr>
          <w:rStyle w:val="FootnoteReference"/>
        </w:rPr>
        <w:footnoteRef/>
      </w:r>
      <w:r>
        <w:t xml:space="preserve"> </w:t>
      </w:r>
      <w:r w:rsidR="00530CE8" w:rsidRPr="00530CE8">
        <w:rPr>
          <w:rFonts w:cs="Arial"/>
          <w:color w:val="003366"/>
          <w:sz w:val="17"/>
          <w:szCs w:val="17"/>
        </w:rPr>
        <w:t xml:space="preserve">Trgovački sud u Zagrebu rješenjem broj 40. St-1024/2014 od 17.04.2015. godine otvara stečajni postupak nad dužnikom one2play maloprodaja d.o.o. </w:t>
      </w:r>
      <w:r w:rsidR="00530CE8" w:rsidRPr="00530CE8">
        <w:rPr>
          <w:rFonts w:cs="Arial"/>
          <w:color w:val="003366"/>
          <w:sz w:val="17"/>
          <w:szCs w:val="17"/>
        </w:rPr>
        <w:t>za proizvodnju i trgovinu</w:t>
      </w:r>
      <w:r w:rsidR="00530CE8">
        <w:rPr>
          <w:rFonts w:cs="Arial"/>
          <w:color w:val="003366"/>
          <w:sz w:val="17"/>
          <w:szCs w:val="17"/>
        </w:rPr>
        <w:t xml:space="preserve"> (</w:t>
      </w:r>
      <w:r w:rsidR="00530CE8" w:rsidRPr="00530CE8">
        <w:rPr>
          <w:rFonts w:cs="Arial"/>
          <w:color w:val="003366"/>
          <w:sz w:val="17"/>
          <w:szCs w:val="17"/>
        </w:rPr>
        <w:t>OIB 68437417326).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BB" w:rsidRDefault="007810BB">
    <w:pPr>
      <w:pStyle w:val="Header"/>
    </w:pPr>
    <w:r>
      <w:rPr>
        <w:noProof/>
        <w:lang w:eastAsia="hr-HR"/>
      </w:rPr>
      <w:drawing>
        <wp:inline distT="0" distB="0" distL="0" distR="0" wp14:anchorId="11AD50C5" wp14:editId="41005F85">
          <wp:extent cx="1095375" cy="228600"/>
          <wp:effectExtent l="0" t="0" r="952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BB"/>
    <w:rsid w:val="00030C47"/>
    <w:rsid w:val="00062512"/>
    <w:rsid w:val="00074894"/>
    <w:rsid w:val="00091825"/>
    <w:rsid w:val="000B6FC4"/>
    <w:rsid w:val="00207157"/>
    <w:rsid w:val="00217E8A"/>
    <w:rsid w:val="00252F79"/>
    <w:rsid w:val="002F768F"/>
    <w:rsid w:val="00303E3F"/>
    <w:rsid w:val="00331BCB"/>
    <w:rsid w:val="00397DE5"/>
    <w:rsid w:val="003F6EAB"/>
    <w:rsid w:val="004026B9"/>
    <w:rsid w:val="00530CE8"/>
    <w:rsid w:val="00535E44"/>
    <w:rsid w:val="005C1E23"/>
    <w:rsid w:val="0060233C"/>
    <w:rsid w:val="00617F04"/>
    <w:rsid w:val="006470A9"/>
    <w:rsid w:val="00684ADE"/>
    <w:rsid w:val="006C7F72"/>
    <w:rsid w:val="0071745C"/>
    <w:rsid w:val="00751605"/>
    <w:rsid w:val="007810BB"/>
    <w:rsid w:val="007B5ADC"/>
    <w:rsid w:val="007C008C"/>
    <w:rsid w:val="00811936"/>
    <w:rsid w:val="0087281F"/>
    <w:rsid w:val="00880F2E"/>
    <w:rsid w:val="009910B4"/>
    <w:rsid w:val="009E3851"/>
    <w:rsid w:val="00A013C7"/>
    <w:rsid w:val="00A067A2"/>
    <w:rsid w:val="00A06943"/>
    <w:rsid w:val="00A105C5"/>
    <w:rsid w:val="00AD5110"/>
    <w:rsid w:val="00B50B4B"/>
    <w:rsid w:val="00B609E8"/>
    <w:rsid w:val="00BD1718"/>
    <w:rsid w:val="00CB706D"/>
    <w:rsid w:val="00CF2526"/>
    <w:rsid w:val="00D065B1"/>
    <w:rsid w:val="00D36DB0"/>
    <w:rsid w:val="00D83AFA"/>
    <w:rsid w:val="00DF4A91"/>
    <w:rsid w:val="00E439A8"/>
    <w:rsid w:val="00F91F58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BB"/>
    <w:pPr>
      <w:spacing w:after="0"/>
      <w:jc w:val="both"/>
    </w:pPr>
    <w:rPr>
      <w:rFonts w:ascii="Arial" w:eastAsia="Times New Roman" w:hAnsi="Arial" w:cs="Times New Roman"/>
      <w:color w:val="1F497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0BB"/>
    <w:pPr>
      <w:spacing w:line="240" w:lineRule="auto"/>
    </w:pPr>
    <w:rPr>
      <w:rFonts w:ascii="Tahoma" w:eastAsiaTheme="minorHAnsi" w:hAnsi="Tahoma" w:cs="Tahoma"/>
      <w:color w:val="1F497D" w:themeColor="text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BB"/>
    <w:rPr>
      <w:rFonts w:ascii="Tahoma" w:hAnsi="Tahoma" w:cs="Tahoma"/>
      <w:color w:val="1F497D" w:themeColor="text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0B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color w:val="1F497D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7810BB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810B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color w:val="1F497D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7810BB"/>
    <w:rPr>
      <w:rFonts w:ascii="Arial" w:hAnsi="Arial"/>
      <w:color w:val="1F497D" w:themeColor="text2"/>
      <w:sz w:val="20"/>
    </w:rPr>
  </w:style>
  <w:style w:type="character" w:styleId="Hyperlink">
    <w:name w:val="Hyperlink"/>
    <w:basedOn w:val="DefaultParagraphFont"/>
    <w:rsid w:val="007810B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810BB"/>
    <w:pPr>
      <w:spacing w:line="240" w:lineRule="auto"/>
    </w:pPr>
    <w:rPr>
      <w:szCs w:val="20"/>
      <w:lang w:eastAsia="hr-HR"/>
    </w:rPr>
  </w:style>
  <w:style w:type="character" w:customStyle="1" w:styleId="TekstfusnoteChar">
    <w:name w:val="Tekst fusnote Char"/>
    <w:basedOn w:val="DefaultParagraphFont"/>
    <w:uiPriority w:val="99"/>
    <w:semiHidden/>
    <w:rsid w:val="007810BB"/>
    <w:rPr>
      <w:rFonts w:ascii="Arial" w:eastAsia="Times New Roman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semiHidden/>
    <w:rsid w:val="007810BB"/>
    <w:rPr>
      <w:vertAlign w:val="superscript"/>
    </w:rPr>
  </w:style>
  <w:style w:type="character" w:customStyle="1" w:styleId="FootnoteTextChar">
    <w:name w:val="Footnote Text Char"/>
    <w:link w:val="FootnoteText"/>
    <w:locked/>
    <w:rsid w:val="007810BB"/>
    <w:rPr>
      <w:rFonts w:ascii="Arial" w:eastAsia="Times New Roman" w:hAnsi="Arial" w:cs="Times New Roman"/>
      <w:color w:val="1F497D"/>
      <w:sz w:val="20"/>
      <w:szCs w:val="20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745C"/>
    <w:rPr>
      <w:color w:val="800080" w:themeColor="followedHyperlink"/>
      <w:u w:val="single"/>
    </w:rPr>
  </w:style>
  <w:style w:type="character" w:customStyle="1" w:styleId="fmt-zeropad8">
    <w:name w:val="fmt-zeropad8"/>
    <w:basedOn w:val="DefaultParagraphFont"/>
    <w:rsid w:val="00074894"/>
  </w:style>
  <w:style w:type="paragraph" w:styleId="ListParagraph">
    <w:name w:val="List Paragraph"/>
    <w:basedOn w:val="Normal"/>
    <w:uiPriority w:val="34"/>
    <w:qFormat/>
    <w:rsid w:val="00D36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BB"/>
    <w:pPr>
      <w:spacing w:after="0"/>
      <w:jc w:val="both"/>
    </w:pPr>
    <w:rPr>
      <w:rFonts w:ascii="Arial" w:eastAsia="Times New Roman" w:hAnsi="Arial" w:cs="Times New Roman"/>
      <w:color w:val="1F497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0BB"/>
    <w:pPr>
      <w:spacing w:line="240" w:lineRule="auto"/>
    </w:pPr>
    <w:rPr>
      <w:rFonts w:ascii="Tahoma" w:eastAsiaTheme="minorHAnsi" w:hAnsi="Tahoma" w:cs="Tahoma"/>
      <w:color w:val="1F497D" w:themeColor="text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BB"/>
    <w:rPr>
      <w:rFonts w:ascii="Tahoma" w:hAnsi="Tahoma" w:cs="Tahoma"/>
      <w:color w:val="1F497D" w:themeColor="text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0B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color w:val="1F497D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7810BB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810BB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color w:val="1F497D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7810BB"/>
    <w:rPr>
      <w:rFonts w:ascii="Arial" w:hAnsi="Arial"/>
      <w:color w:val="1F497D" w:themeColor="text2"/>
      <w:sz w:val="20"/>
    </w:rPr>
  </w:style>
  <w:style w:type="character" w:styleId="Hyperlink">
    <w:name w:val="Hyperlink"/>
    <w:basedOn w:val="DefaultParagraphFont"/>
    <w:rsid w:val="007810B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810BB"/>
    <w:pPr>
      <w:spacing w:line="240" w:lineRule="auto"/>
    </w:pPr>
    <w:rPr>
      <w:szCs w:val="20"/>
      <w:lang w:eastAsia="hr-HR"/>
    </w:rPr>
  </w:style>
  <w:style w:type="character" w:customStyle="1" w:styleId="TekstfusnoteChar">
    <w:name w:val="Tekst fusnote Char"/>
    <w:basedOn w:val="DefaultParagraphFont"/>
    <w:uiPriority w:val="99"/>
    <w:semiHidden/>
    <w:rsid w:val="007810BB"/>
    <w:rPr>
      <w:rFonts w:ascii="Arial" w:eastAsia="Times New Roman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semiHidden/>
    <w:rsid w:val="007810BB"/>
    <w:rPr>
      <w:vertAlign w:val="superscript"/>
    </w:rPr>
  </w:style>
  <w:style w:type="character" w:customStyle="1" w:styleId="FootnoteTextChar">
    <w:name w:val="Footnote Text Char"/>
    <w:link w:val="FootnoteText"/>
    <w:locked/>
    <w:rsid w:val="007810BB"/>
    <w:rPr>
      <w:rFonts w:ascii="Arial" w:eastAsia="Times New Roman" w:hAnsi="Arial" w:cs="Times New Roman"/>
      <w:color w:val="1F497D"/>
      <w:sz w:val="20"/>
      <w:szCs w:val="20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745C"/>
    <w:rPr>
      <w:color w:val="800080" w:themeColor="followedHyperlink"/>
      <w:u w:val="single"/>
    </w:rPr>
  </w:style>
  <w:style w:type="character" w:customStyle="1" w:styleId="fmt-zeropad8">
    <w:name w:val="fmt-zeropad8"/>
    <w:basedOn w:val="DefaultParagraphFont"/>
    <w:rsid w:val="00074894"/>
  </w:style>
  <w:style w:type="paragraph" w:styleId="ListParagraph">
    <w:name w:val="List Paragraph"/>
    <w:basedOn w:val="Normal"/>
    <w:uiPriority w:val="34"/>
    <w:qFormat/>
    <w:rsid w:val="00D3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703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" TargetMode="External"/><Relationship Id="rId18" Type="http://schemas.openxmlformats.org/officeDocument/2006/relationships/hyperlink" Target="https://www.transparentno.hr/pregled/72438732598/c299579875da3b23d832e9d4fd2816a874f7374c23e41aae06cc2e38407e6c9aa433d0cdfd6b91a7bed7189804cbbd35782cc9a07e3faa06bb48b3f668a1e834" TargetMode="External"/><Relationship Id="rId26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39" Type="http://schemas.openxmlformats.org/officeDocument/2006/relationships/image" Target="media/image5.jpeg"/><Relationship Id="rId21" Type="http://schemas.openxmlformats.org/officeDocument/2006/relationships/hyperlink" Target="https://www.transparentno.hr/pregled/91841941117/c99139023b2af7328acbd0c81919e2cfa1b49a7fe580956c626319106c94ecdf8f24160acb95bca29795302ab17d2af267f703258c1fbe5017889abd04294ece" TargetMode="External"/><Relationship Id="rId34" Type="http://schemas.openxmlformats.org/officeDocument/2006/relationships/hyperlink" Target="http://www.fina.hr/Default.aspx?sec=97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20" Type="http://schemas.openxmlformats.org/officeDocument/2006/relationships/hyperlink" Target="https://www.transparentno.hr/pregled/32619970125/78035bcaee35acc6f3cd67d55204bcee471c2a75c635eb12bfafe57b37fc122cabe73eb3a2a51829b3ed50ad59dafbb77fbf78461c011d5f8638d67ca2223a22" TargetMode="External"/><Relationship Id="rId29" Type="http://schemas.openxmlformats.org/officeDocument/2006/relationships/hyperlink" Target="http://www.fina.hr/Default.aspx?sec=1279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" TargetMode="External"/><Relationship Id="rId24" Type="http://schemas.openxmlformats.org/officeDocument/2006/relationships/hyperlink" Target="https://www.transparentno.hr/pregled/72438732598/c299579875da3b23d832e9d4fd2816a874f7374c23e41aae06cc2e38407e6c9aa433d0cdfd6b91a7bed7189804cbbd35782cc9a07e3faa06bb48b3f668a1e834" TargetMode="External"/><Relationship Id="rId32" Type="http://schemas.openxmlformats.org/officeDocument/2006/relationships/hyperlink" Target="http://rgfi.fina.hr/JavnaObjava-web/jsp/prijavaKorisnika.jsp" TargetMode="External"/><Relationship Id="rId37" Type="http://schemas.openxmlformats.org/officeDocument/2006/relationships/image" Target="media/image4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72438732598/c299579875da3b23d832e9d4fd2816a874f7374c23e41aae06cc2e38407e6c9aa433d0cdfd6b91a7bed7189804cbbd35782cc9a07e3faa06bb48b3f668a1e834" TargetMode="External"/><Relationship Id="rId23" Type="http://schemas.openxmlformats.org/officeDocument/2006/relationships/hyperlink" Target="https://www.transparentno.hr/pregled/92983822740/03241a1c0d83d007637be864ced78c38afb4155378367914c9f4fc26b483a67ad94c64c828c46461074c31bb48adba9b9c0fc1dab90ba33ace8fb83cf23302e8" TargetMode="External"/><Relationship Id="rId28" Type="http://schemas.openxmlformats.org/officeDocument/2006/relationships/hyperlink" Target="http://www.fina.hr/Default.aspx?art=8958&amp;sec=1275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19" Type="http://schemas.openxmlformats.org/officeDocument/2006/relationships/hyperlink" Target="https://www.transparentno.hr/pregled/73323157067/687a069ef7611eb839b06dc7f7f20157255d87cb6e827c441f3a8e54e8584a0ba3a106e1e2ec0b3f891ec65412fa6f69ad7493e8e024fc923762658266bb298e" TargetMode="External"/><Relationship Id="rId31" Type="http://schemas.openxmlformats.org/officeDocument/2006/relationships/hyperlink" Target="https://www.transparentno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14" Type="http://schemas.openxmlformats.org/officeDocument/2006/relationships/hyperlink" Target="https://www.transparentno.hr/pregled/32619970125/78035bcaee35acc6f3cd67d55204bcee471c2a75c635eb12bfafe57b37fc122cabe73eb3a2a51829b3ed50ad59dafbb77fbf78461c011d5f8638d67ca2223a22" TargetMode="External"/><Relationship Id="rId22" Type="http://schemas.openxmlformats.org/officeDocument/2006/relationships/hyperlink" Target="https://www.transparentno.hr/pregled/68437417326/f69e0de98bec702c50de69f9b8c0e0d6824dd19ce98c0ca35581eadba086efe5d21dde2f3fe7bacb00fe14c4e21419ac9adc5eee5299e9ae098015e2e38411c1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://rgfi.fina.hr/JavnaObjava-web/jsp/prijavaKorisnika.jsp" TargetMode="External"/><Relationship Id="rId35" Type="http://schemas.openxmlformats.org/officeDocument/2006/relationships/hyperlink" Target="http://www.fina.hr/Default.aspx?sec=1" TargetMode="External"/><Relationship Id="rId8" Type="http://schemas.openxmlformats.org/officeDocument/2006/relationships/hyperlink" Target="https://www.transparentno.hr/pregled/92983822740/03241a1c0d83d007637be864ced78c38afb4155378367914c9f4fc26b483a67ad94c64c828c46461074c31bb48adba9b9c0fc1dab90ba33ace8fb83cf23302e8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25" Type="http://schemas.openxmlformats.org/officeDocument/2006/relationships/hyperlink" Target="https://www.transparentno.hr/pregled/44225131109/cb340319b7e3201aadd520a8cc2cc7cd806e6e59950b5e36165e569a2d566846ea345375fabb5d1a6d68eacedcc0cad306f5a9d1e23c31c9ce49075d0b936f6e" TargetMode="External"/><Relationship Id="rId33" Type="http://schemas.openxmlformats.org/officeDocument/2006/relationships/hyperlink" Target="https://jrr.fina.hr/" TargetMode="External"/><Relationship Id="rId38" Type="http://schemas.openxmlformats.org/officeDocument/2006/relationships/hyperlink" Target="http://www.fina.hr/lgs.axd?t=24&amp;id=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02DB-7B39-4E56-BD67-324F4B8B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1745</Words>
  <Characters>9948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admin</cp:lastModifiedBy>
  <cp:revision>5</cp:revision>
  <dcterms:created xsi:type="dcterms:W3CDTF">2017-12-05T14:46:00Z</dcterms:created>
  <dcterms:modified xsi:type="dcterms:W3CDTF">2017-12-05T15:04:00Z</dcterms:modified>
</cp:coreProperties>
</file>