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E8" w:rsidRDefault="007C3AE8" w:rsidP="00E26D38">
      <w:pPr>
        <w:tabs>
          <w:tab w:val="left" w:pos="567"/>
        </w:tabs>
        <w:spacing w:after="120" w:line="240" w:lineRule="auto"/>
        <w:jc w:val="center"/>
        <w:rPr>
          <w:b/>
          <w:color w:val="244061"/>
          <w:sz w:val="21"/>
          <w:szCs w:val="21"/>
        </w:rPr>
      </w:pPr>
      <w:r w:rsidRPr="007C3AE8">
        <w:rPr>
          <w:b/>
          <w:color w:val="244061"/>
          <w:sz w:val="21"/>
          <w:szCs w:val="21"/>
        </w:rPr>
        <w:t>PODUZETNICI NA PODRUČJU URBANE AGLOMERACIJE RIJEKA U 2016. GODINI ISKAZALI</w:t>
      </w:r>
      <w:r>
        <w:rPr>
          <w:b/>
          <w:color w:val="244061"/>
          <w:sz w:val="21"/>
          <w:szCs w:val="21"/>
        </w:rPr>
        <w:t xml:space="preserve"> 36,8 % VEĆ</w:t>
      </w:r>
      <w:r w:rsidR="00E7040E">
        <w:rPr>
          <w:b/>
          <w:color w:val="244061"/>
          <w:sz w:val="21"/>
          <w:szCs w:val="21"/>
        </w:rPr>
        <w:t>U NETO DOBIT</w:t>
      </w:r>
    </w:p>
    <w:p w:rsidR="00D30907" w:rsidRDefault="00E26D38" w:rsidP="00E26D38">
      <w:pPr>
        <w:tabs>
          <w:tab w:val="left" w:pos="567"/>
        </w:tabs>
        <w:spacing w:after="0"/>
        <w:jc w:val="both"/>
        <w:rPr>
          <w:rFonts w:cs="Arial"/>
          <w:color w:val="244061"/>
          <w:sz w:val="20"/>
        </w:rPr>
      </w:pPr>
      <w:r>
        <w:rPr>
          <w:rFonts w:cs="Arial"/>
          <w:color w:val="244061" w:themeColor="accent1" w:themeShade="80"/>
          <w:sz w:val="20"/>
        </w:rPr>
        <w:t xml:space="preserve">Prošlo je dvije godine od kada je </w:t>
      </w:r>
      <w:r w:rsidR="00E65163" w:rsidRPr="00DA69EB">
        <w:rPr>
          <w:rFonts w:cs="Arial"/>
          <w:color w:val="244061" w:themeColor="accent1" w:themeShade="80"/>
          <w:sz w:val="20"/>
        </w:rPr>
        <w:t xml:space="preserve">Odlukom Ministarstva regionalnoga razvoja i fondova Europske unije </w:t>
      </w:r>
      <w:r>
        <w:rPr>
          <w:rFonts w:cs="Arial"/>
          <w:color w:val="244061" w:themeColor="accent1" w:themeShade="80"/>
          <w:sz w:val="20"/>
        </w:rPr>
        <w:t>(</w:t>
      </w:r>
      <w:r w:rsidR="00CD4ED8" w:rsidRPr="00E67B25">
        <w:rPr>
          <w:rFonts w:cs="Arial"/>
          <w:color w:val="244061"/>
          <w:sz w:val="20"/>
        </w:rPr>
        <w:t xml:space="preserve">21. rujna </w:t>
      </w:r>
      <w:r w:rsidR="00E65163" w:rsidRPr="00DA69EB">
        <w:rPr>
          <w:rFonts w:cs="Arial"/>
          <w:color w:val="244061" w:themeColor="accent1" w:themeShade="80"/>
          <w:sz w:val="20"/>
        </w:rPr>
        <w:t xml:space="preserve">2015. </w:t>
      </w:r>
      <w:r>
        <w:rPr>
          <w:rFonts w:cs="Arial"/>
          <w:color w:val="244061" w:themeColor="accent1" w:themeShade="80"/>
          <w:sz w:val="20"/>
        </w:rPr>
        <w:t>g</w:t>
      </w:r>
      <w:r w:rsidR="00E65163" w:rsidRPr="00DA69EB">
        <w:rPr>
          <w:rFonts w:cs="Arial"/>
          <w:color w:val="244061" w:themeColor="accent1" w:themeShade="80"/>
          <w:sz w:val="20"/>
        </w:rPr>
        <w:t>odine</w:t>
      </w:r>
      <w:r>
        <w:rPr>
          <w:rFonts w:cs="Arial"/>
          <w:color w:val="244061" w:themeColor="accent1" w:themeShade="80"/>
          <w:sz w:val="20"/>
        </w:rPr>
        <w:t>)</w:t>
      </w:r>
      <w:r w:rsidR="00E65163" w:rsidRPr="00DA69EB">
        <w:rPr>
          <w:rFonts w:cs="Arial"/>
          <w:color w:val="244061" w:themeColor="accent1" w:themeShade="80"/>
          <w:sz w:val="20"/>
        </w:rPr>
        <w:t xml:space="preserve">, ustrojena Urbana aglomeracija </w:t>
      </w:r>
      <w:r w:rsidR="00CD4ED8">
        <w:rPr>
          <w:rFonts w:cs="Arial"/>
          <w:color w:val="244061" w:themeColor="accent1" w:themeShade="80"/>
          <w:sz w:val="20"/>
        </w:rPr>
        <w:t>Rijeka</w:t>
      </w:r>
      <w:r w:rsidR="001A777A">
        <w:rPr>
          <w:rStyle w:val="FootnoteReference"/>
          <w:color w:val="244061" w:themeColor="accent1" w:themeShade="80"/>
          <w:sz w:val="20"/>
        </w:rPr>
        <w:footnoteReference w:id="1"/>
      </w:r>
      <w:r w:rsidR="00E65163" w:rsidRPr="00DA69EB">
        <w:rPr>
          <w:rFonts w:cs="Arial"/>
          <w:color w:val="244061" w:themeColor="accent1" w:themeShade="80"/>
          <w:sz w:val="20"/>
        </w:rPr>
        <w:t xml:space="preserve"> koja obuhvaća </w:t>
      </w:r>
      <w:r w:rsidR="00CD4ED8">
        <w:rPr>
          <w:rFonts w:cs="Arial"/>
          <w:color w:val="244061" w:themeColor="accent1" w:themeShade="80"/>
          <w:sz w:val="20"/>
        </w:rPr>
        <w:t>10</w:t>
      </w:r>
      <w:r w:rsidR="00E65163" w:rsidRPr="00DA69EB">
        <w:rPr>
          <w:rFonts w:cs="Arial"/>
          <w:color w:val="244061" w:themeColor="accent1" w:themeShade="80"/>
          <w:sz w:val="20"/>
        </w:rPr>
        <w:t xml:space="preserve"> jedinica</w:t>
      </w:r>
      <w:r>
        <w:rPr>
          <w:rFonts w:cs="Arial"/>
          <w:color w:val="244061" w:themeColor="accent1" w:themeShade="80"/>
          <w:sz w:val="20"/>
        </w:rPr>
        <w:t>,</w:t>
      </w:r>
      <w:r w:rsidR="00E65163" w:rsidRPr="00DA69EB">
        <w:rPr>
          <w:rFonts w:cs="Arial"/>
          <w:color w:val="244061" w:themeColor="accent1" w:themeShade="80"/>
          <w:sz w:val="20"/>
        </w:rPr>
        <w:t xml:space="preserve"> </w:t>
      </w:r>
      <w:r w:rsidR="00CD4ED8">
        <w:rPr>
          <w:rFonts w:cs="Arial"/>
          <w:color w:val="244061" w:themeColor="accent1" w:themeShade="80"/>
          <w:sz w:val="20"/>
        </w:rPr>
        <w:t xml:space="preserve">gradove </w:t>
      </w:r>
      <w:r w:rsidR="00CD4ED8" w:rsidRPr="006601AF">
        <w:rPr>
          <w:rFonts w:cs="Arial"/>
          <w:color w:val="244061"/>
          <w:sz w:val="20"/>
        </w:rPr>
        <w:t>Rijek</w:t>
      </w:r>
      <w:r w:rsidR="000E56E2">
        <w:rPr>
          <w:rFonts w:cs="Arial"/>
          <w:color w:val="244061"/>
          <w:sz w:val="20"/>
        </w:rPr>
        <w:t>u</w:t>
      </w:r>
      <w:r w:rsidR="00CD4ED8" w:rsidRPr="006601AF">
        <w:rPr>
          <w:rFonts w:cs="Arial"/>
          <w:color w:val="244061"/>
          <w:sz w:val="20"/>
        </w:rPr>
        <w:t>, Kastav, Kraljevic</w:t>
      </w:r>
      <w:r w:rsidR="000E56E2">
        <w:rPr>
          <w:rFonts w:cs="Arial"/>
          <w:color w:val="244061"/>
          <w:sz w:val="20"/>
        </w:rPr>
        <w:t>u</w:t>
      </w:r>
      <w:r w:rsidR="00D30907">
        <w:rPr>
          <w:rFonts w:cs="Arial"/>
          <w:color w:val="244061"/>
          <w:sz w:val="20"/>
        </w:rPr>
        <w:t xml:space="preserve"> i </w:t>
      </w:r>
      <w:r w:rsidR="00CD4ED8" w:rsidRPr="006601AF">
        <w:rPr>
          <w:rFonts w:cs="Arial"/>
          <w:color w:val="244061"/>
          <w:sz w:val="20"/>
        </w:rPr>
        <w:t>Opatij</w:t>
      </w:r>
      <w:r w:rsidR="000E56E2">
        <w:rPr>
          <w:rFonts w:cs="Arial"/>
          <w:color w:val="244061"/>
          <w:sz w:val="20"/>
        </w:rPr>
        <w:t>u</w:t>
      </w:r>
      <w:r w:rsidR="00CD4ED8" w:rsidRPr="006601AF">
        <w:rPr>
          <w:rFonts w:cs="Arial"/>
          <w:color w:val="244061"/>
          <w:sz w:val="20"/>
        </w:rPr>
        <w:t xml:space="preserve"> </w:t>
      </w:r>
      <w:r w:rsidR="000E56E2">
        <w:rPr>
          <w:rFonts w:cs="Arial"/>
          <w:color w:val="244061"/>
          <w:sz w:val="20"/>
        </w:rPr>
        <w:t>te</w:t>
      </w:r>
      <w:r w:rsidR="00CD4ED8" w:rsidRPr="006601AF">
        <w:rPr>
          <w:rFonts w:cs="Arial"/>
          <w:color w:val="244061"/>
          <w:sz w:val="20"/>
        </w:rPr>
        <w:t xml:space="preserve"> općine Čavle, Klan</w:t>
      </w:r>
      <w:r w:rsidR="000E56E2">
        <w:rPr>
          <w:rFonts w:cs="Arial"/>
          <w:color w:val="244061"/>
          <w:sz w:val="20"/>
        </w:rPr>
        <w:t>u</w:t>
      </w:r>
      <w:r w:rsidR="00CD4ED8" w:rsidRPr="006601AF">
        <w:rPr>
          <w:rFonts w:cs="Arial"/>
          <w:color w:val="244061"/>
          <w:sz w:val="20"/>
        </w:rPr>
        <w:t xml:space="preserve">, </w:t>
      </w:r>
      <w:proofErr w:type="spellStart"/>
      <w:r w:rsidR="00CD4ED8" w:rsidRPr="006601AF">
        <w:rPr>
          <w:rFonts w:cs="Arial"/>
          <w:color w:val="244061"/>
          <w:sz w:val="20"/>
        </w:rPr>
        <w:t>Kostren</w:t>
      </w:r>
      <w:r w:rsidR="000E56E2">
        <w:rPr>
          <w:rFonts w:cs="Arial"/>
          <w:color w:val="244061"/>
          <w:sz w:val="20"/>
        </w:rPr>
        <w:t>u</w:t>
      </w:r>
      <w:proofErr w:type="spellEnd"/>
      <w:r w:rsidR="00CD4ED8" w:rsidRPr="006601AF">
        <w:rPr>
          <w:rFonts w:cs="Arial"/>
          <w:color w:val="244061"/>
          <w:sz w:val="20"/>
        </w:rPr>
        <w:t xml:space="preserve">, Lovran, </w:t>
      </w:r>
      <w:proofErr w:type="spellStart"/>
      <w:r w:rsidR="00CD4ED8" w:rsidRPr="006601AF">
        <w:rPr>
          <w:rFonts w:cs="Arial"/>
          <w:color w:val="244061"/>
          <w:sz w:val="20"/>
        </w:rPr>
        <w:t>Mošćeničk</w:t>
      </w:r>
      <w:r w:rsidR="000E56E2">
        <w:rPr>
          <w:rFonts w:cs="Arial"/>
          <w:color w:val="244061"/>
          <w:sz w:val="20"/>
        </w:rPr>
        <w:t>u</w:t>
      </w:r>
      <w:proofErr w:type="spellEnd"/>
      <w:r w:rsidR="00CD4ED8" w:rsidRPr="006601AF">
        <w:rPr>
          <w:rFonts w:cs="Arial"/>
          <w:color w:val="244061"/>
          <w:sz w:val="20"/>
        </w:rPr>
        <w:t xml:space="preserve"> Drag</w:t>
      </w:r>
      <w:r w:rsidR="000E56E2">
        <w:rPr>
          <w:rFonts w:cs="Arial"/>
          <w:color w:val="244061"/>
          <w:sz w:val="20"/>
        </w:rPr>
        <w:t>u</w:t>
      </w:r>
      <w:r w:rsidR="00CD4ED8" w:rsidRPr="006601AF">
        <w:rPr>
          <w:rFonts w:cs="Arial"/>
          <w:color w:val="244061"/>
          <w:sz w:val="20"/>
        </w:rPr>
        <w:t xml:space="preserve"> </w:t>
      </w:r>
      <w:r w:rsidR="000E56E2">
        <w:rPr>
          <w:rFonts w:cs="Arial"/>
          <w:color w:val="244061"/>
          <w:sz w:val="20"/>
        </w:rPr>
        <w:t>i</w:t>
      </w:r>
      <w:r w:rsidR="00CD4ED8" w:rsidRPr="006601AF">
        <w:rPr>
          <w:rFonts w:cs="Arial"/>
          <w:color w:val="244061"/>
          <w:sz w:val="20"/>
        </w:rPr>
        <w:t xml:space="preserve"> </w:t>
      </w:r>
      <w:proofErr w:type="spellStart"/>
      <w:r w:rsidR="00CD4ED8" w:rsidRPr="006601AF">
        <w:rPr>
          <w:rFonts w:cs="Arial"/>
          <w:color w:val="244061"/>
          <w:sz w:val="20"/>
        </w:rPr>
        <w:t>Viškovo</w:t>
      </w:r>
      <w:proofErr w:type="spellEnd"/>
      <w:r w:rsidR="001A777A">
        <w:rPr>
          <w:rStyle w:val="FootnoteReference"/>
          <w:color w:val="244061"/>
          <w:sz w:val="20"/>
        </w:rPr>
        <w:footnoteReference w:id="2"/>
      </w:r>
      <w:r w:rsidR="00CD4ED8" w:rsidRPr="00E67B25">
        <w:rPr>
          <w:rFonts w:cs="Arial"/>
          <w:color w:val="244061"/>
          <w:sz w:val="20"/>
        </w:rPr>
        <w:t>.</w:t>
      </w: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20"/>
        <w:gridCol w:w="3827"/>
      </w:tblGrid>
      <w:tr w:rsidR="00E65163" w:rsidRPr="00E67B25" w:rsidTr="005A1F1B">
        <w:trPr>
          <w:trHeight w:val="340"/>
        </w:trPr>
        <w:tc>
          <w:tcPr>
            <w:tcW w:w="5920" w:type="dxa"/>
            <w:vAlign w:val="center"/>
          </w:tcPr>
          <w:p w:rsidR="00E65163" w:rsidRPr="00DA5BBA" w:rsidRDefault="00E65163" w:rsidP="00E26D38">
            <w:pPr>
              <w:spacing w:before="180"/>
              <w:rPr>
                <w:rFonts w:cs="Arial"/>
                <w:noProof/>
                <w:color w:val="0000FF"/>
                <w:sz w:val="19"/>
                <w:szCs w:val="19"/>
              </w:rPr>
            </w:pPr>
            <w:r w:rsidRPr="00DA5BBA">
              <w:rPr>
                <w:rFonts w:cs="Arial"/>
                <w:b/>
                <w:color w:val="244061"/>
                <w:sz w:val="19"/>
                <w:szCs w:val="19"/>
              </w:rPr>
              <w:t>Shema 1</w:t>
            </w:r>
            <w:r w:rsidRPr="00DA5BBA">
              <w:rPr>
                <w:rFonts w:cs="Arial"/>
                <w:color w:val="244061"/>
                <w:sz w:val="19"/>
                <w:szCs w:val="19"/>
              </w:rPr>
              <w:t xml:space="preserve">.   </w:t>
            </w:r>
            <w:r w:rsidRPr="00DA5BBA">
              <w:rPr>
                <w:rFonts w:cs="Arial"/>
                <w:b/>
                <w:color w:val="244061"/>
                <w:sz w:val="19"/>
                <w:szCs w:val="19"/>
              </w:rPr>
              <w:t>Područje Urbane aglomeracije Rijeka</w:t>
            </w:r>
          </w:p>
        </w:tc>
        <w:tc>
          <w:tcPr>
            <w:tcW w:w="3827" w:type="dxa"/>
            <w:vMerge w:val="restart"/>
          </w:tcPr>
          <w:p w:rsidR="003B219A" w:rsidRDefault="001A777A" w:rsidP="00156F2F">
            <w:pPr>
              <w:tabs>
                <w:tab w:val="left" w:pos="567"/>
              </w:tabs>
              <w:spacing w:before="360" w:line="276" w:lineRule="auto"/>
              <w:jc w:val="both"/>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Na području obuhvaće</w:t>
            </w:r>
            <w:r w:rsidR="003B219A">
              <w:rPr>
                <w:rFonts w:eastAsia="Calibri" w:cs="Arial"/>
                <w:color w:val="244061" w:themeColor="accent1" w:themeShade="80"/>
                <w:sz w:val="20"/>
                <w:lang w:eastAsia="en-US"/>
              </w:rPr>
              <w:t>nom</w:t>
            </w:r>
            <w:r w:rsidRPr="00882537">
              <w:rPr>
                <w:rFonts w:eastAsia="Calibri" w:cs="Arial"/>
                <w:color w:val="244061" w:themeColor="accent1" w:themeShade="80"/>
                <w:sz w:val="20"/>
                <w:lang w:eastAsia="en-US"/>
              </w:rPr>
              <w:t xml:space="preserve"> Odlukom o ustrojavanju Urbane aglomeracije Rijeka, u 201</w:t>
            </w:r>
            <w:r w:rsidR="003B219A">
              <w:rPr>
                <w:rFonts w:eastAsia="Calibri" w:cs="Arial"/>
                <w:color w:val="244061" w:themeColor="accent1" w:themeShade="80"/>
                <w:sz w:val="20"/>
                <w:lang w:eastAsia="en-US"/>
              </w:rPr>
              <w:t>6</w:t>
            </w:r>
            <w:r w:rsidRPr="00882537">
              <w:rPr>
                <w:rFonts w:eastAsia="Calibri" w:cs="Arial"/>
                <w:color w:val="244061" w:themeColor="accent1" w:themeShade="80"/>
                <w:sz w:val="20"/>
                <w:lang w:eastAsia="en-US"/>
              </w:rPr>
              <w:t>. godini bilo je 6</w:t>
            </w:r>
            <w:r w:rsidR="003B219A">
              <w:rPr>
                <w:rFonts w:eastAsia="Calibri" w:cs="Arial"/>
                <w:color w:val="244061" w:themeColor="accent1" w:themeShade="80"/>
                <w:sz w:val="20"/>
                <w:lang w:eastAsia="en-US"/>
              </w:rPr>
              <w:t xml:space="preserve">612 </w:t>
            </w:r>
            <w:r w:rsidR="003B219A" w:rsidRPr="00882537">
              <w:rPr>
                <w:rFonts w:eastAsia="Calibri" w:cs="Arial"/>
                <w:color w:val="244061" w:themeColor="accent1" w:themeShade="80"/>
                <w:sz w:val="20"/>
                <w:lang w:eastAsia="en-US"/>
              </w:rPr>
              <w:t>poduzetnika</w:t>
            </w:r>
            <w:r w:rsidR="00080961">
              <w:rPr>
                <w:rFonts w:eastAsia="Calibri" w:cs="Arial"/>
                <w:color w:val="244061" w:themeColor="accent1" w:themeShade="80"/>
                <w:sz w:val="20"/>
                <w:lang w:eastAsia="en-US"/>
              </w:rPr>
              <w:t>,</w:t>
            </w:r>
            <w:r w:rsidR="003B219A">
              <w:rPr>
                <w:rFonts w:eastAsia="Calibri" w:cs="Arial"/>
                <w:color w:val="244061" w:themeColor="accent1" w:themeShade="80"/>
                <w:sz w:val="20"/>
                <w:lang w:eastAsia="en-US"/>
              </w:rPr>
              <w:t xml:space="preserve"> što je u odnosu na 2015. </w:t>
            </w:r>
            <w:r w:rsidR="000B1AA0">
              <w:rPr>
                <w:rFonts w:eastAsia="Calibri" w:cs="Arial"/>
                <w:color w:val="244061" w:themeColor="accent1" w:themeShade="80"/>
                <w:sz w:val="20"/>
                <w:lang w:eastAsia="en-US"/>
              </w:rPr>
              <w:t>g</w:t>
            </w:r>
            <w:r w:rsidR="003B219A">
              <w:rPr>
                <w:rFonts w:eastAsia="Calibri" w:cs="Arial"/>
                <w:color w:val="244061" w:themeColor="accent1" w:themeShade="80"/>
                <w:sz w:val="20"/>
                <w:lang w:eastAsia="en-US"/>
              </w:rPr>
              <w:t xml:space="preserve">odinu </w:t>
            </w:r>
            <w:r w:rsidR="002C2DA0">
              <w:rPr>
                <w:rFonts w:eastAsia="Calibri" w:cs="Arial"/>
                <w:color w:val="244061" w:themeColor="accent1" w:themeShade="80"/>
                <w:sz w:val="20"/>
                <w:lang w:eastAsia="en-US"/>
              </w:rPr>
              <w:t>kada ih je bilo 6429</w:t>
            </w:r>
            <w:r w:rsidR="000B1AA0">
              <w:rPr>
                <w:rFonts w:eastAsia="Calibri" w:cs="Arial"/>
                <w:color w:val="244061" w:themeColor="accent1" w:themeShade="80"/>
                <w:sz w:val="20"/>
                <w:lang w:eastAsia="en-US"/>
              </w:rPr>
              <w:t>,</w:t>
            </w:r>
            <w:r w:rsidR="002C2DA0">
              <w:rPr>
                <w:rFonts w:eastAsia="Calibri" w:cs="Arial"/>
                <w:color w:val="244061" w:themeColor="accent1" w:themeShade="80"/>
                <w:sz w:val="20"/>
                <w:lang w:eastAsia="en-US"/>
              </w:rPr>
              <w:t xml:space="preserve"> </w:t>
            </w:r>
            <w:r w:rsidR="003B219A">
              <w:rPr>
                <w:rFonts w:eastAsia="Calibri" w:cs="Arial"/>
                <w:color w:val="244061" w:themeColor="accent1" w:themeShade="80"/>
                <w:sz w:val="20"/>
                <w:lang w:eastAsia="en-US"/>
              </w:rPr>
              <w:t>povećanje za 2,8</w:t>
            </w:r>
            <w:r w:rsidR="002C2DA0">
              <w:rPr>
                <w:rFonts w:eastAsia="Calibri" w:cs="Arial"/>
                <w:color w:val="244061" w:themeColor="accent1" w:themeShade="80"/>
                <w:sz w:val="20"/>
                <w:lang w:eastAsia="en-US"/>
              </w:rPr>
              <w:t xml:space="preserve"> </w:t>
            </w:r>
            <w:r w:rsidR="003B219A">
              <w:rPr>
                <w:rFonts w:eastAsia="Calibri" w:cs="Arial"/>
                <w:color w:val="244061" w:themeColor="accent1" w:themeShade="80"/>
                <w:sz w:val="20"/>
                <w:lang w:eastAsia="en-US"/>
              </w:rPr>
              <w:t>%</w:t>
            </w:r>
            <w:r w:rsidR="002C2DA0">
              <w:rPr>
                <w:rFonts w:eastAsia="Calibri" w:cs="Arial"/>
                <w:color w:val="244061" w:themeColor="accent1" w:themeShade="80"/>
                <w:sz w:val="20"/>
                <w:lang w:eastAsia="en-US"/>
              </w:rPr>
              <w:t>.</w:t>
            </w:r>
            <w:r w:rsidR="003B219A">
              <w:rPr>
                <w:rFonts w:eastAsia="Calibri" w:cs="Arial"/>
                <w:color w:val="244061" w:themeColor="accent1" w:themeShade="80"/>
                <w:sz w:val="20"/>
                <w:lang w:eastAsia="en-US"/>
              </w:rPr>
              <w:t xml:space="preserve"> </w:t>
            </w:r>
          </w:p>
          <w:p w:rsidR="00E65163" w:rsidRPr="00E67B25" w:rsidRDefault="003B219A" w:rsidP="00E26D38">
            <w:pPr>
              <w:tabs>
                <w:tab w:val="left" w:pos="567"/>
              </w:tabs>
              <w:spacing w:before="120" w:line="276" w:lineRule="auto"/>
              <w:jc w:val="both"/>
              <w:rPr>
                <w:rFonts w:cs="Arial"/>
                <w:b/>
                <w:color w:val="244061"/>
                <w:sz w:val="21"/>
                <w:szCs w:val="21"/>
              </w:rPr>
            </w:pPr>
            <w:r>
              <w:rPr>
                <w:rFonts w:eastAsia="Calibri" w:cs="Arial"/>
                <w:color w:val="244061" w:themeColor="accent1" w:themeShade="80"/>
                <w:sz w:val="20"/>
                <w:lang w:eastAsia="en-US"/>
              </w:rPr>
              <w:t xml:space="preserve">Riječ je o poduzetnicima </w:t>
            </w:r>
            <w:r w:rsidR="001A777A" w:rsidRPr="00882537">
              <w:rPr>
                <w:rFonts w:eastAsia="Calibri" w:cs="Arial"/>
                <w:color w:val="244061" w:themeColor="accent1" w:themeShade="80"/>
                <w:sz w:val="20"/>
                <w:lang w:eastAsia="en-US"/>
              </w:rPr>
              <w:t>čije je sjedište u jednom od spomenutih gradova i općina</w:t>
            </w:r>
            <w:r>
              <w:rPr>
                <w:rFonts w:eastAsia="Calibri" w:cs="Arial"/>
                <w:color w:val="244061" w:themeColor="accent1" w:themeShade="80"/>
                <w:sz w:val="20"/>
                <w:lang w:eastAsia="en-US"/>
              </w:rPr>
              <w:t xml:space="preserve"> i </w:t>
            </w:r>
            <w:r w:rsidR="001A777A" w:rsidRPr="00882537">
              <w:rPr>
                <w:rFonts w:eastAsia="Calibri" w:cs="Arial"/>
                <w:color w:val="244061" w:themeColor="accent1" w:themeShade="80"/>
                <w:sz w:val="20"/>
                <w:lang w:eastAsia="en-US"/>
              </w:rPr>
              <w:t>koji su sastavili i u Registar godišnjih financijskih izvještaja podnijeli točan i potpun godišnji financijski izvještaj za 201</w:t>
            </w:r>
            <w:r w:rsidR="00A30312">
              <w:rPr>
                <w:rFonts w:eastAsia="Calibri" w:cs="Arial"/>
                <w:color w:val="244061" w:themeColor="accent1" w:themeShade="80"/>
                <w:sz w:val="20"/>
                <w:lang w:eastAsia="en-US"/>
              </w:rPr>
              <w:t>6</w:t>
            </w:r>
            <w:r w:rsidR="001A777A" w:rsidRPr="00882537">
              <w:rPr>
                <w:rFonts w:eastAsia="Calibri" w:cs="Arial"/>
                <w:color w:val="244061" w:themeColor="accent1" w:themeShade="80"/>
                <w:sz w:val="20"/>
                <w:lang w:eastAsia="en-US"/>
              </w:rPr>
              <w:t>. godinu.</w:t>
            </w:r>
          </w:p>
        </w:tc>
      </w:tr>
      <w:tr w:rsidR="00E65163" w:rsidRPr="00E67B25" w:rsidTr="005A1F1B">
        <w:tc>
          <w:tcPr>
            <w:tcW w:w="5920" w:type="dxa"/>
            <w:vAlign w:val="center"/>
          </w:tcPr>
          <w:p w:rsidR="00E65163" w:rsidRPr="00E67B25" w:rsidRDefault="005A1F1B" w:rsidP="00E65163">
            <w:pPr>
              <w:jc w:val="center"/>
              <w:rPr>
                <w:rFonts w:cs="Arial"/>
                <w:i/>
                <w:color w:val="244061"/>
                <w:sz w:val="20"/>
              </w:rPr>
            </w:pPr>
            <w:r>
              <w:rPr>
                <w:rFonts w:cs="Arial"/>
                <w:i/>
                <w:noProof/>
                <w:color w:val="244061"/>
                <w:sz w:val="20"/>
              </w:rPr>
              <w:drawing>
                <wp:inline distT="0" distB="0" distL="0" distR="0" wp14:anchorId="68EC7A26">
                  <wp:extent cx="3456000" cy="2052000"/>
                  <wp:effectExtent l="0" t="0" r="0" b="571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000" cy="2052000"/>
                          </a:xfrm>
                          <a:prstGeom prst="rect">
                            <a:avLst/>
                          </a:prstGeom>
                          <a:noFill/>
                        </pic:spPr>
                      </pic:pic>
                    </a:graphicData>
                  </a:graphic>
                </wp:inline>
              </w:drawing>
            </w:r>
          </w:p>
        </w:tc>
        <w:tc>
          <w:tcPr>
            <w:tcW w:w="3827" w:type="dxa"/>
            <w:vMerge/>
          </w:tcPr>
          <w:p w:rsidR="00E65163" w:rsidRPr="00E67B25" w:rsidRDefault="00E65163" w:rsidP="00D74406">
            <w:pPr>
              <w:tabs>
                <w:tab w:val="left" w:pos="567"/>
              </w:tabs>
              <w:spacing w:line="276" w:lineRule="auto"/>
              <w:rPr>
                <w:rFonts w:cs="Arial"/>
                <w:i/>
                <w:color w:val="244061"/>
                <w:sz w:val="20"/>
              </w:rPr>
            </w:pPr>
          </w:p>
        </w:tc>
      </w:tr>
    </w:tbl>
    <w:p w:rsidR="00E65163" w:rsidRPr="00E67B25" w:rsidRDefault="00E65163" w:rsidP="00E26D38">
      <w:pPr>
        <w:tabs>
          <w:tab w:val="left" w:pos="709"/>
        </w:tabs>
        <w:spacing w:before="240" w:after="120"/>
        <w:rPr>
          <w:rFonts w:eastAsia="Calibri" w:cs="Arial"/>
          <w:b/>
          <w:color w:val="244061"/>
          <w:sz w:val="21"/>
          <w:szCs w:val="21"/>
          <w:lang w:eastAsia="en-US"/>
        </w:rPr>
      </w:pPr>
      <w:r w:rsidRPr="00E67B25">
        <w:rPr>
          <w:rFonts w:eastAsia="Calibri" w:cs="Arial"/>
          <w:b/>
          <w:color w:val="244061"/>
          <w:sz w:val="21"/>
          <w:szCs w:val="21"/>
          <w:lang w:eastAsia="en-US"/>
        </w:rPr>
        <w:t>Financijski rezultati poslovanja poduzetnika na podr</w:t>
      </w:r>
      <w:r>
        <w:rPr>
          <w:rFonts w:eastAsia="Calibri" w:cs="Arial"/>
          <w:b/>
          <w:color w:val="244061"/>
          <w:sz w:val="21"/>
          <w:szCs w:val="21"/>
          <w:lang w:eastAsia="en-US"/>
        </w:rPr>
        <w:t>učju Urbane aglomeracije Rijeka</w:t>
      </w:r>
    </w:p>
    <w:p w:rsidR="00E65163" w:rsidRPr="00882537" w:rsidRDefault="00E65163" w:rsidP="00515596">
      <w:pPr>
        <w:tabs>
          <w:tab w:val="left" w:pos="567"/>
        </w:tabs>
        <w:spacing w:after="120"/>
        <w:jc w:val="both"/>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Od navedenoga broja</w:t>
      </w:r>
      <w:r w:rsidR="00152A99">
        <w:rPr>
          <w:rFonts w:eastAsia="Calibri" w:cs="Arial"/>
          <w:color w:val="244061" w:themeColor="accent1" w:themeShade="80"/>
          <w:sz w:val="20"/>
          <w:lang w:eastAsia="en-US"/>
        </w:rPr>
        <w:t xml:space="preserve"> (6612)</w:t>
      </w:r>
      <w:r w:rsidRPr="00882537">
        <w:rPr>
          <w:rFonts w:eastAsia="Calibri" w:cs="Arial"/>
          <w:color w:val="244061" w:themeColor="accent1" w:themeShade="80"/>
          <w:sz w:val="20"/>
          <w:lang w:eastAsia="en-US"/>
        </w:rPr>
        <w:t>, najviše je poduzetnika sa područja grada Rijeke (4</w:t>
      </w:r>
      <w:r w:rsidR="003B219A">
        <w:rPr>
          <w:rFonts w:eastAsia="Calibri" w:cs="Arial"/>
          <w:color w:val="244061" w:themeColor="accent1" w:themeShade="80"/>
          <w:sz w:val="20"/>
          <w:lang w:eastAsia="en-US"/>
        </w:rPr>
        <w:t>335</w:t>
      </w:r>
      <w:r w:rsidR="00D034D0">
        <w:rPr>
          <w:rFonts w:eastAsia="Calibri" w:cs="Arial"/>
          <w:color w:val="244061" w:themeColor="accent1" w:themeShade="80"/>
          <w:sz w:val="20"/>
          <w:lang w:eastAsia="en-US"/>
        </w:rPr>
        <w:t xml:space="preserve"> ili 65</w:t>
      </w:r>
      <w:r w:rsidR="00152A99">
        <w:rPr>
          <w:rFonts w:eastAsia="Calibri" w:cs="Arial"/>
          <w:color w:val="244061" w:themeColor="accent1" w:themeShade="80"/>
          <w:sz w:val="20"/>
          <w:lang w:eastAsia="en-US"/>
        </w:rPr>
        <w:t>,</w:t>
      </w:r>
      <w:r w:rsidR="00D034D0">
        <w:rPr>
          <w:rFonts w:eastAsia="Calibri" w:cs="Arial"/>
          <w:color w:val="244061" w:themeColor="accent1" w:themeShade="80"/>
          <w:sz w:val="20"/>
          <w:lang w:eastAsia="en-US"/>
        </w:rPr>
        <w:t>6 %</w:t>
      </w:r>
      <w:r w:rsidRPr="00882537">
        <w:rPr>
          <w:rFonts w:eastAsia="Calibri" w:cs="Arial"/>
          <w:color w:val="244061" w:themeColor="accent1" w:themeShade="80"/>
          <w:sz w:val="20"/>
          <w:lang w:eastAsia="en-US"/>
        </w:rPr>
        <w:t>), a najmanji je broj poduzetnika u općini Klana (3</w:t>
      </w:r>
      <w:r w:rsidR="003B219A">
        <w:rPr>
          <w:rFonts w:eastAsia="Calibri" w:cs="Arial"/>
          <w:color w:val="244061" w:themeColor="accent1" w:themeShade="80"/>
          <w:sz w:val="20"/>
          <w:lang w:eastAsia="en-US"/>
        </w:rPr>
        <w:t>9</w:t>
      </w:r>
      <w:r w:rsidR="00D034D0">
        <w:rPr>
          <w:rFonts w:eastAsia="Calibri" w:cs="Arial"/>
          <w:color w:val="244061" w:themeColor="accent1" w:themeShade="80"/>
          <w:sz w:val="20"/>
          <w:lang w:eastAsia="en-US"/>
        </w:rPr>
        <w:t xml:space="preserve"> ili 0,6 %</w:t>
      </w:r>
      <w:r w:rsidR="00626754">
        <w:rPr>
          <w:rFonts w:eastAsia="Calibri" w:cs="Arial"/>
          <w:color w:val="244061" w:themeColor="accent1" w:themeShade="80"/>
          <w:sz w:val="20"/>
          <w:lang w:eastAsia="en-US"/>
        </w:rPr>
        <w:t>)</w:t>
      </w:r>
      <w:r w:rsidR="00080961">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Kod 6</w:t>
      </w:r>
      <w:r w:rsidR="003B219A">
        <w:rPr>
          <w:rFonts w:eastAsia="Calibri" w:cs="Arial"/>
          <w:color w:val="244061" w:themeColor="accent1" w:themeShade="80"/>
          <w:sz w:val="20"/>
          <w:lang w:eastAsia="en-US"/>
        </w:rPr>
        <w:t>612</w:t>
      </w:r>
      <w:r w:rsidRPr="00882537">
        <w:rPr>
          <w:rFonts w:eastAsia="Calibri" w:cs="Arial"/>
          <w:color w:val="244061" w:themeColor="accent1" w:themeShade="80"/>
          <w:sz w:val="20"/>
          <w:lang w:eastAsia="en-US"/>
        </w:rPr>
        <w:t xml:space="preserve"> poduzetnika bilo je 40</w:t>
      </w:r>
      <w:r w:rsidR="005A1F1B">
        <w:rPr>
          <w:rFonts w:eastAsia="Calibri" w:cs="Arial"/>
          <w:color w:val="244061" w:themeColor="accent1" w:themeShade="80"/>
          <w:sz w:val="20"/>
          <w:lang w:eastAsia="en-US"/>
        </w:rPr>
        <w:t> </w:t>
      </w:r>
      <w:r w:rsidRPr="00882537">
        <w:rPr>
          <w:rFonts w:eastAsia="Calibri" w:cs="Arial"/>
          <w:color w:val="244061" w:themeColor="accent1" w:themeShade="80"/>
          <w:sz w:val="20"/>
          <w:lang w:eastAsia="en-US"/>
        </w:rPr>
        <w:t>9</w:t>
      </w:r>
      <w:r w:rsidR="003B219A">
        <w:rPr>
          <w:rFonts w:eastAsia="Calibri" w:cs="Arial"/>
          <w:color w:val="244061" w:themeColor="accent1" w:themeShade="80"/>
          <w:sz w:val="20"/>
          <w:lang w:eastAsia="en-US"/>
        </w:rPr>
        <w:t>95</w:t>
      </w:r>
      <w:r w:rsidRPr="00882537">
        <w:rPr>
          <w:rFonts w:eastAsia="Calibri" w:cs="Arial"/>
          <w:color w:val="244061" w:themeColor="accent1" w:themeShade="80"/>
          <w:sz w:val="20"/>
          <w:lang w:eastAsia="en-US"/>
        </w:rPr>
        <w:t xml:space="preserve"> zaposlenih, što je prosječno 6,</w:t>
      </w:r>
      <w:r w:rsidR="003B219A">
        <w:rPr>
          <w:rFonts w:eastAsia="Calibri" w:cs="Arial"/>
          <w:color w:val="244061" w:themeColor="accent1" w:themeShade="80"/>
          <w:sz w:val="20"/>
          <w:lang w:eastAsia="en-US"/>
        </w:rPr>
        <w:t>2</w:t>
      </w:r>
      <w:r w:rsidR="00080961">
        <w:rPr>
          <w:rFonts w:eastAsia="Calibri" w:cs="Arial"/>
          <w:color w:val="244061" w:themeColor="accent1" w:themeShade="80"/>
          <w:sz w:val="20"/>
          <w:lang w:eastAsia="en-US"/>
        </w:rPr>
        <w:t xml:space="preserve"> zaposlenih po poduzetniku.</w:t>
      </w:r>
    </w:p>
    <w:p w:rsidR="00E65163" w:rsidRPr="00A77A2F" w:rsidRDefault="00E65163" w:rsidP="00313E09">
      <w:pPr>
        <w:widowControl w:val="0"/>
        <w:tabs>
          <w:tab w:val="left" w:pos="567"/>
        </w:tabs>
        <w:spacing w:before="180" w:after="60" w:line="240" w:lineRule="auto"/>
        <w:ind w:left="1134" w:hanging="1134"/>
        <w:rPr>
          <w:rFonts w:eastAsia="Calibri" w:cs="Arial"/>
          <w:b/>
          <w:color w:val="244061"/>
          <w:sz w:val="19"/>
          <w:szCs w:val="19"/>
          <w:lang w:eastAsia="en-US"/>
        </w:rPr>
      </w:pPr>
      <w:r w:rsidRPr="00E26D38">
        <w:rPr>
          <w:rFonts w:eastAsia="Calibri" w:cs="Arial"/>
          <w:b/>
          <w:color w:val="244061"/>
          <w:sz w:val="18"/>
          <w:szCs w:val="18"/>
          <w:lang w:eastAsia="en-US"/>
        </w:rPr>
        <w:t xml:space="preserve">Tablica </w:t>
      </w:r>
      <w:r w:rsidR="006F086A" w:rsidRPr="00E26D38">
        <w:rPr>
          <w:rFonts w:eastAsia="Calibri" w:cs="Arial"/>
          <w:b/>
          <w:color w:val="244061"/>
          <w:sz w:val="18"/>
          <w:szCs w:val="18"/>
          <w:lang w:eastAsia="en-US"/>
        </w:rPr>
        <w:t>1</w:t>
      </w:r>
      <w:r w:rsidRPr="00E26D38">
        <w:rPr>
          <w:rFonts w:eastAsia="Calibri" w:cs="Arial"/>
          <w:b/>
          <w:color w:val="244061"/>
          <w:sz w:val="18"/>
          <w:szCs w:val="18"/>
          <w:lang w:eastAsia="en-US"/>
        </w:rPr>
        <w:tab/>
        <w:t>Broj poduzetnika i osnovni financijski rezultati poslovanja poduzetnika u gradovima/općinama Urbane aglomeracije Rijeka u 201</w:t>
      </w:r>
      <w:r w:rsidR="00577848" w:rsidRPr="00E26D38">
        <w:rPr>
          <w:rFonts w:eastAsia="Calibri" w:cs="Arial"/>
          <w:b/>
          <w:color w:val="244061"/>
          <w:sz w:val="18"/>
          <w:szCs w:val="18"/>
          <w:lang w:eastAsia="en-US"/>
        </w:rPr>
        <w:t>6</w:t>
      </w:r>
      <w:r w:rsidRPr="00E26D38">
        <w:rPr>
          <w:rFonts w:eastAsia="Calibri" w:cs="Arial"/>
          <w:b/>
          <w:color w:val="244061"/>
          <w:sz w:val="18"/>
          <w:szCs w:val="18"/>
          <w:lang w:eastAsia="en-US"/>
        </w:rPr>
        <w:t>. godini</w:t>
      </w:r>
      <w:r w:rsidRPr="00E26D38">
        <w:rPr>
          <w:rFonts w:eastAsia="Calibri" w:cs="Arial"/>
          <w:b/>
          <w:color w:val="244061"/>
          <w:sz w:val="18"/>
          <w:szCs w:val="18"/>
          <w:lang w:eastAsia="en-US"/>
        </w:rPr>
        <w:tab/>
      </w:r>
      <w:r w:rsidRPr="00A77A2F">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17365D"/>
          <w:sz w:val="16"/>
          <w:szCs w:val="18"/>
          <w:lang w:eastAsia="en-US"/>
        </w:rPr>
        <w:t>(iznosi u tisućama kuna)</w:t>
      </w:r>
    </w:p>
    <w:tbl>
      <w:tblPr>
        <w:tblW w:w="9582" w:type="dxa"/>
        <w:jc w:val="center"/>
        <w:tblLayout w:type="fixed"/>
        <w:tblLook w:val="04A0" w:firstRow="1" w:lastRow="0" w:firstColumn="1" w:lastColumn="0" w:noHBand="0" w:noVBand="1"/>
      </w:tblPr>
      <w:tblGrid>
        <w:gridCol w:w="2666"/>
        <w:gridCol w:w="1230"/>
        <w:gridCol w:w="1115"/>
        <w:gridCol w:w="1226"/>
        <w:gridCol w:w="1106"/>
        <w:gridCol w:w="993"/>
        <w:gridCol w:w="1246"/>
      </w:tblGrid>
      <w:tr w:rsidR="00E65163" w:rsidRPr="00E26D38" w:rsidTr="00E26D38">
        <w:trPr>
          <w:trHeight w:val="454"/>
          <w:tblHeader/>
          <w:jc w:val="center"/>
        </w:trPr>
        <w:tc>
          <w:tcPr>
            <w:tcW w:w="2666" w:type="dxa"/>
            <w:tcBorders>
              <w:top w:val="single" w:sz="8" w:space="0" w:color="auto"/>
              <w:left w:val="single" w:sz="8" w:space="0" w:color="auto"/>
              <w:bottom w:val="nil"/>
              <w:right w:val="single" w:sz="8" w:space="0" w:color="C0C0C0"/>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Naziv grada/općine</w:t>
            </w:r>
          </w:p>
        </w:tc>
        <w:tc>
          <w:tcPr>
            <w:tcW w:w="1230" w:type="dxa"/>
            <w:tcBorders>
              <w:top w:val="single" w:sz="8" w:space="0" w:color="auto"/>
              <w:left w:val="nil"/>
              <w:bottom w:val="nil"/>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Broj poduzetnika</w:t>
            </w:r>
          </w:p>
        </w:tc>
        <w:tc>
          <w:tcPr>
            <w:tcW w:w="1115" w:type="dxa"/>
            <w:tcBorders>
              <w:top w:val="single" w:sz="8" w:space="0" w:color="C0C0C0"/>
              <w:left w:val="single" w:sz="8" w:space="0" w:color="C0C0C0"/>
              <w:bottom w:val="nil"/>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Broj zaposlenih</w:t>
            </w:r>
          </w:p>
        </w:tc>
        <w:tc>
          <w:tcPr>
            <w:tcW w:w="1226" w:type="dxa"/>
            <w:tcBorders>
              <w:top w:val="single" w:sz="8" w:space="0" w:color="C0C0C0"/>
              <w:left w:val="single" w:sz="8" w:space="0" w:color="C0C0C0"/>
              <w:bottom w:val="nil"/>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Ukupni prihod</w:t>
            </w:r>
          </w:p>
        </w:tc>
        <w:tc>
          <w:tcPr>
            <w:tcW w:w="1106" w:type="dxa"/>
            <w:tcBorders>
              <w:top w:val="single" w:sz="8" w:space="0" w:color="auto"/>
              <w:left w:val="single" w:sz="8" w:space="0" w:color="C0C0C0"/>
              <w:bottom w:val="nil"/>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Dobit razdoblja</w:t>
            </w:r>
          </w:p>
        </w:tc>
        <w:tc>
          <w:tcPr>
            <w:tcW w:w="993" w:type="dxa"/>
            <w:tcBorders>
              <w:top w:val="single" w:sz="8" w:space="0" w:color="auto"/>
              <w:left w:val="single" w:sz="8" w:space="0" w:color="C0C0C0"/>
              <w:bottom w:val="nil"/>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Gubitak razdoblja</w:t>
            </w:r>
          </w:p>
        </w:tc>
        <w:tc>
          <w:tcPr>
            <w:tcW w:w="1246" w:type="dxa"/>
            <w:tcBorders>
              <w:top w:val="single" w:sz="8" w:space="0" w:color="auto"/>
              <w:left w:val="single" w:sz="8" w:space="0" w:color="C0C0C0"/>
              <w:bottom w:val="nil"/>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Neto dobit</w:t>
            </w:r>
            <w:r w:rsidR="00577848" w:rsidRPr="003413A8">
              <w:rPr>
                <w:rFonts w:cs="Arial"/>
                <w:b/>
                <w:bCs/>
                <w:color w:val="FFFFFF"/>
                <w:sz w:val="16"/>
                <w:szCs w:val="16"/>
              </w:rPr>
              <w:t>/gubitak</w:t>
            </w:r>
          </w:p>
        </w:tc>
      </w:tr>
      <w:tr w:rsidR="00243587" w:rsidRPr="00E26D38" w:rsidTr="004318D2">
        <w:trPr>
          <w:trHeight w:val="283"/>
          <w:jc w:val="center"/>
        </w:trPr>
        <w:tc>
          <w:tcPr>
            <w:tcW w:w="266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center"/>
            <w:hideMark/>
          </w:tcPr>
          <w:p w:rsidR="00243587" w:rsidRPr="00A77A2F" w:rsidRDefault="00243587" w:rsidP="00156F2F">
            <w:pPr>
              <w:spacing w:after="0" w:line="240" w:lineRule="auto"/>
              <w:rPr>
                <w:rFonts w:cs="Arial"/>
                <w:bCs/>
                <w:sz w:val="18"/>
                <w:szCs w:val="18"/>
              </w:rPr>
            </w:pPr>
            <w:r w:rsidRPr="00A77A2F">
              <w:rPr>
                <w:rFonts w:cs="Arial"/>
                <w:bCs/>
                <w:sz w:val="18"/>
                <w:szCs w:val="18"/>
              </w:rPr>
              <w:t>Kastav/grad</w:t>
            </w:r>
          </w:p>
        </w:tc>
        <w:tc>
          <w:tcPr>
            <w:tcW w:w="1230"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392 </w:t>
            </w:r>
          </w:p>
        </w:tc>
        <w:tc>
          <w:tcPr>
            <w:tcW w:w="1115" w:type="dxa"/>
            <w:tcBorders>
              <w:top w:val="single" w:sz="4" w:space="0" w:color="FFFFFF"/>
              <w:left w:val="nil"/>
              <w:bottom w:val="single" w:sz="4" w:space="0" w:color="FFFFFF"/>
              <w:right w:val="single" w:sz="4" w:space="0" w:color="FFFFFF"/>
            </w:tcBorders>
            <w:shd w:val="clear" w:color="auto" w:fill="DBE5F1" w:themeFill="accent1" w:themeFillTint="33"/>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1.987 </w:t>
            </w:r>
          </w:p>
        </w:tc>
        <w:tc>
          <w:tcPr>
            <w:tcW w:w="1226"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1.626.883 </w:t>
            </w:r>
          </w:p>
        </w:tc>
        <w:tc>
          <w:tcPr>
            <w:tcW w:w="1106"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66.917 </w:t>
            </w:r>
          </w:p>
        </w:tc>
        <w:tc>
          <w:tcPr>
            <w:tcW w:w="993"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43.382 </w:t>
            </w:r>
          </w:p>
        </w:tc>
        <w:tc>
          <w:tcPr>
            <w:tcW w:w="1246"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23.535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DBE5F1" w:themeFill="accent1" w:themeFillTint="33"/>
            <w:noWrap/>
            <w:vAlign w:val="center"/>
            <w:hideMark/>
          </w:tcPr>
          <w:p w:rsidR="00243587" w:rsidRPr="00A77A2F" w:rsidRDefault="00243587" w:rsidP="00156F2F">
            <w:pPr>
              <w:spacing w:after="0" w:line="240" w:lineRule="auto"/>
              <w:rPr>
                <w:rFonts w:cs="Arial"/>
                <w:bCs/>
                <w:sz w:val="18"/>
                <w:szCs w:val="18"/>
              </w:rPr>
            </w:pPr>
            <w:r w:rsidRPr="00A77A2F">
              <w:rPr>
                <w:rFonts w:cs="Arial"/>
                <w:bCs/>
                <w:sz w:val="18"/>
                <w:szCs w:val="18"/>
              </w:rPr>
              <w:t>Kraljevica/grad</w:t>
            </w:r>
          </w:p>
        </w:tc>
        <w:tc>
          <w:tcPr>
            <w:tcW w:w="1230"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86 </w:t>
            </w:r>
          </w:p>
        </w:tc>
        <w:tc>
          <w:tcPr>
            <w:tcW w:w="1115" w:type="dxa"/>
            <w:tcBorders>
              <w:top w:val="nil"/>
              <w:left w:val="nil"/>
              <w:bottom w:val="single" w:sz="4" w:space="0" w:color="FFFFFF"/>
              <w:right w:val="single" w:sz="4" w:space="0" w:color="FFFFFF"/>
            </w:tcBorders>
            <w:shd w:val="clear" w:color="auto" w:fill="DBE5F1" w:themeFill="accent1" w:themeFillTint="33"/>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433 </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146.078 </w:t>
            </w:r>
          </w:p>
        </w:tc>
        <w:tc>
          <w:tcPr>
            <w:tcW w:w="110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8.917 </w:t>
            </w:r>
          </w:p>
        </w:tc>
        <w:tc>
          <w:tcPr>
            <w:tcW w:w="993"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738 </w:t>
            </w:r>
          </w:p>
        </w:tc>
        <w:tc>
          <w:tcPr>
            <w:tcW w:w="124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8.179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DBE5F1" w:themeFill="accent1" w:themeFillTint="33"/>
            <w:noWrap/>
            <w:vAlign w:val="center"/>
            <w:hideMark/>
          </w:tcPr>
          <w:p w:rsidR="00243587" w:rsidRPr="00A77A2F" w:rsidRDefault="00243587" w:rsidP="00156F2F">
            <w:pPr>
              <w:spacing w:after="0" w:line="240" w:lineRule="auto"/>
              <w:rPr>
                <w:rFonts w:cs="Arial"/>
                <w:bCs/>
                <w:sz w:val="18"/>
                <w:szCs w:val="18"/>
              </w:rPr>
            </w:pPr>
            <w:r w:rsidRPr="00A77A2F">
              <w:rPr>
                <w:rFonts w:cs="Arial"/>
                <w:bCs/>
                <w:sz w:val="18"/>
                <w:szCs w:val="18"/>
              </w:rPr>
              <w:t>Opatija/grad</w:t>
            </w:r>
          </w:p>
        </w:tc>
        <w:tc>
          <w:tcPr>
            <w:tcW w:w="1230"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650 </w:t>
            </w:r>
          </w:p>
        </w:tc>
        <w:tc>
          <w:tcPr>
            <w:tcW w:w="1115" w:type="dxa"/>
            <w:tcBorders>
              <w:top w:val="nil"/>
              <w:left w:val="nil"/>
              <w:bottom w:val="single" w:sz="4" w:space="0" w:color="FFFFFF"/>
              <w:right w:val="single" w:sz="4" w:space="0" w:color="FFFFFF"/>
            </w:tcBorders>
            <w:shd w:val="clear" w:color="auto" w:fill="DBE5F1" w:themeFill="accent1" w:themeFillTint="33"/>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3.754 </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2.248.971 </w:t>
            </w:r>
          </w:p>
        </w:tc>
        <w:tc>
          <w:tcPr>
            <w:tcW w:w="110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165.512 </w:t>
            </w:r>
          </w:p>
        </w:tc>
        <w:tc>
          <w:tcPr>
            <w:tcW w:w="993"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60.483 </w:t>
            </w:r>
          </w:p>
        </w:tc>
        <w:tc>
          <w:tcPr>
            <w:tcW w:w="124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105.029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DBE5F1" w:themeFill="accent1" w:themeFillTint="33"/>
            <w:noWrap/>
            <w:vAlign w:val="center"/>
            <w:hideMark/>
          </w:tcPr>
          <w:p w:rsidR="00243587" w:rsidRPr="00A77A2F" w:rsidRDefault="00243587" w:rsidP="00156F2F">
            <w:pPr>
              <w:spacing w:after="0" w:line="240" w:lineRule="auto"/>
              <w:rPr>
                <w:rFonts w:cs="Arial"/>
                <w:bCs/>
                <w:sz w:val="18"/>
                <w:szCs w:val="18"/>
              </w:rPr>
            </w:pPr>
            <w:r w:rsidRPr="00A77A2F">
              <w:rPr>
                <w:rFonts w:cs="Arial"/>
                <w:bCs/>
                <w:sz w:val="18"/>
                <w:szCs w:val="18"/>
              </w:rPr>
              <w:t>Rijeka/grad</w:t>
            </w:r>
          </w:p>
        </w:tc>
        <w:tc>
          <w:tcPr>
            <w:tcW w:w="1230"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4.335 </w:t>
            </w:r>
          </w:p>
        </w:tc>
        <w:tc>
          <w:tcPr>
            <w:tcW w:w="1115" w:type="dxa"/>
            <w:tcBorders>
              <w:top w:val="nil"/>
              <w:left w:val="nil"/>
              <w:bottom w:val="single" w:sz="4" w:space="0" w:color="FFFFFF"/>
              <w:right w:val="single" w:sz="4" w:space="0" w:color="FFFFFF"/>
            </w:tcBorders>
            <w:shd w:val="clear" w:color="auto" w:fill="DBE5F1" w:themeFill="accent1" w:themeFillTint="33"/>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29.765 </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18.531.414 </w:t>
            </w:r>
          </w:p>
        </w:tc>
        <w:tc>
          <w:tcPr>
            <w:tcW w:w="110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1.066.887 </w:t>
            </w:r>
          </w:p>
        </w:tc>
        <w:tc>
          <w:tcPr>
            <w:tcW w:w="993"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294.726 </w:t>
            </w:r>
          </w:p>
        </w:tc>
        <w:tc>
          <w:tcPr>
            <w:tcW w:w="1246" w:type="dxa"/>
            <w:tcBorders>
              <w:top w:val="nil"/>
              <w:left w:val="nil"/>
              <w:bottom w:val="single" w:sz="4" w:space="0" w:color="FFFFFF"/>
              <w:right w:val="single" w:sz="4" w:space="0" w:color="FFFFFF"/>
            </w:tcBorders>
            <w:shd w:val="clear" w:color="auto" w:fill="DBE5F1" w:themeFill="accent1" w:themeFillTint="33"/>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772.162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243587" w:rsidRPr="00A77A2F" w:rsidRDefault="00243587" w:rsidP="00156F2F">
            <w:pPr>
              <w:spacing w:after="0" w:line="240" w:lineRule="auto"/>
              <w:rPr>
                <w:rFonts w:cs="Arial"/>
                <w:sz w:val="18"/>
                <w:szCs w:val="18"/>
              </w:rPr>
            </w:pPr>
            <w:r w:rsidRPr="00A77A2F">
              <w:rPr>
                <w:rFonts w:cs="Arial"/>
                <w:sz w:val="18"/>
                <w:szCs w:val="18"/>
              </w:rPr>
              <w:t>Čavle/općina</w:t>
            </w:r>
          </w:p>
        </w:tc>
        <w:tc>
          <w:tcPr>
            <w:tcW w:w="1230"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210 </w:t>
            </w:r>
          </w:p>
        </w:tc>
        <w:tc>
          <w:tcPr>
            <w:tcW w:w="1115" w:type="dxa"/>
            <w:tcBorders>
              <w:top w:val="nil"/>
              <w:left w:val="nil"/>
              <w:bottom w:val="single" w:sz="4" w:space="0" w:color="FFFFFF"/>
              <w:right w:val="single" w:sz="4" w:space="0" w:color="FFFFFF"/>
            </w:tcBorders>
            <w:shd w:val="clear" w:color="auto" w:fill="E7EDF5"/>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820 </w:t>
            </w:r>
          </w:p>
        </w:tc>
        <w:tc>
          <w:tcPr>
            <w:tcW w:w="122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331.981 </w:t>
            </w:r>
          </w:p>
        </w:tc>
        <w:tc>
          <w:tcPr>
            <w:tcW w:w="110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17.931 </w:t>
            </w:r>
          </w:p>
        </w:tc>
        <w:tc>
          <w:tcPr>
            <w:tcW w:w="993"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8.464 </w:t>
            </w:r>
          </w:p>
        </w:tc>
        <w:tc>
          <w:tcPr>
            <w:tcW w:w="124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9.467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243587" w:rsidRPr="00A77A2F" w:rsidRDefault="00243587" w:rsidP="00156F2F">
            <w:pPr>
              <w:spacing w:after="0" w:line="240" w:lineRule="auto"/>
              <w:rPr>
                <w:rFonts w:cs="Arial"/>
                <w:sz w:val="18"/>
                <w:szCs w:val="18"/>
              </w:rPr>
            </w:pPr>
            <w:r w:rsidRPr="00A77A2F">
              <w:rPr>
                <w:rFonts w:cs="Arial"/>
                <w:sz w:val="18"/>
                <w:szCs w:val="18"/>
              </w:rPr>
              <w:t>Klana/općina</w:t>
            </w:r>
          </w:p>
        </w:tc>
        <w:tc>
          <w:tcPr>
            <w:tcW w:w="1230"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39 </w:t>
            </w:r>
          </w:p>
        </w:tc>
        <w:tc>
          <w:tcPr>
            <w:tcW w:w="1115" w:type="dxa"/>
            <w:tcBorders>
              <w:top w:val="nil"/>
              <w:left w:val="nil"/>
              <w:bottom w:val="single" w:sz="4" w:space="0" w:color="FFFFFF"/>
              <w:right w:val="single" w:sz="4" w:space="0" w:color="FFFFFF"/>
            </w:tcBorders>
            <w:shd w:val="clear" w:color="auto" w:fill="E7EDF5"/>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639 </w:t>
            </w:r>
          </w:p>
        </w:tc>
        <w:tc>
          <w:tcPr>
            <w:tcW w:w="122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304.145 </w:t>
            </w:r>
          </w:p>
        </w:tc>
        <w:tc>
          <w:tcPr>
            <w:tcW w:w="110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9.091 </w:t>
            </w:r>
          </w:p>
        </w:tc>
        <w:tc>
          <w:tcPr>
            <w:tcW w:w="993"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875 </w:t>
            </w:r>
          </w:p>
        </w:tc>
        <w:tc>
          <w:tcPr>
            <w:tcW w:w="124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8.216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243587" w:rsidRPr="00A77A2F" w:rsidRDefault="00243587" w:rsidP="00156F2F">
            <w:pPr>
              <w:spacing w:after="0" w:line="240" w:lineRule="auto"/>
              <w:rPr>
                <w:rFonts w:cs="Arial"/>
                <w:sz w:val="18"/>
                <w:szCs w:val="18"/>
              </w:rPr>
            </w:pPr>
            <w:proofErr w:type="spellStart"/>
            <w:r w:rsidRPr="00A77A2F">
              <w:rPr>
                <w:rFonts w:cs="Arial"/>
                <w:sz w:val="18"/>
                <w:szCs w:val="18"/>
              </w:rPr>
              <w:t>Kostrena</w:t>
            </w:r>
            <w:proofErr w:type="spellEnd"/>
            <w:r w:rsidRPr="00A77A2F">
              <w:rPr>
                <w:rFonts w:cs="Arial"/>
                <w:sz w:val="18"/>
                <w:szCs w:val="18"/>
              </w:rPr>
              <w:t>/općina</w:t>
            </w:r>
          </w:p>
        </w:tc>
        <w:tc>
          <w:tcPr>
            <w:tcW w:w="1230"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137 </w:t>
            </w:r>
          </w:p>
        </w:tc>
        <w:tc>
          <w:tcPr>
            <w:tcW w:w="1115" w:type="dxa"/>
            <w:tcBorders>
              <w:top w:val="nil"/>
              <w:left w:val="nil"/>
              <w:bottom w:val="single" w:sz="4" w:space="0" w:color="FFFFFF"/>
              <w:right w:val="single" w:sz="4" w:space="0" w:color="FFFFFF"/>
            </w:tcBorders>
            <w:shd w:val="clear" w:color="auto" w:fill="E7EDF5"/>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537 </w:t>
            </w:r>
          </w:p>
        </w:tc>
        <w:tc>
          <w:tcPr>
            <w:tcW w:w="122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207.846 </w:t>
            </w:r>
          </w:p>
        </w:tc>
        <w:tc>
          <w:tcPr>
            <w:tcW w:w="110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18.916 </w:t>
            </w:r>
          </w:p>
        </w:tc>
        <w:tc>
          <w:tcPr>
            <w:tcW w:w="993"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3.824 </w:t>
            </w:r>
          </w:p>
        </w:tc>
        <w:tc>
          <w:tcPr>
            <w:tcW w:w="124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15.091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243587" w:rsidRPr="00A77A2F" w:rsidRDefault="00243587" w:rsidP="00156F2F">
            <w:pPr>
              <w:spacing w:after="0" w:line="240" w:lineRule="auto"/>
              <w:rPr>
                <w:rFonts w:cs="Arial"/>
                <w:sz w:val="18"/>
                <w:szCs w:val="18"/>
              </w:rPr>
            </w:pPr>
            <w:r w:rsidRPr="00A77A2F">
              <w:rPr>
                <w:rFonts w:cs="Arial"/>
                <w:sz w:val="18"/>
                <w:szCs w:val="18"/>
              </w:rPr>
              <w:t>Lovran/općina</w:t>
            </w:r>
          </w:p>
        </w:tc>
        <w:tc>
          <w:tcPr>
            <w:tcW w:w="1230"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157 </w:t>
            </w:r>
          </w:p>
        </w:tc>
        <w:tc>
          <w:tcPr>
            <w:tcW w:w="1115" w:type="dxa"/>
            <w:tcBorders>
              <w:top w:val="nil"/>
              <w:left w:val="nil"/>
              <w:bottom w:val="single" w:sz="4" w:space="0" w:color="FFFFFF"/>
              <w:right w:val="single" w:sz="4" w:space="0" w:color="FFFFFF"/>
            </w:tcBorders>
            <w:shd w:val="clear" w:color="auto" w:fill="E7EDF5"/>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699 </w:t>
            </w:r>
          </w:p>
        </w:tc>
        <w:tc>
          <w:tcPr>
            <w:tcW w:w="122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252.925 </w:t>
            </w:r>
          </w:p>
        </w:tc>
        <w:tc>
          <w:tcPr>
            <w:tcW w:w="110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9.343 </w:t>
            </w:r>
          </w:p>
        </w:tc>
        <w:tc>
          <w:tcPr>
            <w:tcW w:w="993"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12.595 </w:t>
            </w:r>
          </w:p>
        </w:tc>
        <w:tc>
          <w:tcPr>
            <w:tcW w:w="124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color w:val="FF0000"/>
                <w:sz w:val="18"/>
                <w:szCs w:val="18"/>
              </w:rPr>
              <w:t xml:space="preserve">-3.252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243587" w:rsidRPr="00A77A2F" w:rsidRDefault="00243587" w:rsidP="00156F2F">
            <w:pPr>
              <w:spacing w:after="0" w:line="240" w:lineRule="auto"/>
              <w:rPr>
                <w:rFonts w:cs="Arial"/>
                <w:sz w:val="18"/>
                <w:szCs w:val="18"/>
              </w:rPr>
            </w:pPr>
            <w:proofErr w:type="spellStart"/>
            <w:r w:rsidRPr="00A77A2F">
              <w:rPr>
                <w:rFonts w:cs="Arial"/>
                <w:sz w:val="18"/>
                <w:szCs w:val="18"/>
              </w:rPr>
              <w:t>Mošćenička</w:t>
            </w:r>
            <w:proofErr w:type="spellEnd"/>
            <w:r w:rsidRPr="00A77A2F">
              <w:rPr>
                <w:rFonts w:cs="Arial"/>
                <w:sz w:val="18"/>
                <w:szCs w:val="18"/>
              </w:rPr>
              <w:t xml:space="preserve"> Draga/općina</w:t>
            </w:r>
          </w:p>
        </w:tc>
        <w:tc>
          <w:tcPr>
            <w:tcW w:w="1230"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59 </w:t>
            </w:r>
          </w:p>
        </w:tc>
        <w:tc>
          <w:tcPr>
            <w:tcW w:w="1115" w:type="dxa"/>
            <w:tcBorders>
              <w:top w:val="nil"/>
              <w:left w:val="nil"/>
              <w:bottom w:val="single" w:sz="4" w:space="0" w:color="FFFFFF"/>
              <w:right w:val="single" w:sz="4" w:space="0" w:color="FFFFFF"/>
            </w:tcBorders>
            <w:shd w:val="clear" w:color="auto" w:fill="E7EDF5"/>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123 </w:t>
            </w:r>
          </w:p>
        </w:tc>
        <w:tc>
          <w:tcPr>
            <w:tcW w:w="122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31.012 </w:t>
            </w:r>
          </w:p>
        </w:tc>
        <w:tc>
          <w:tcPr>
            <w:tcW w:w="110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2.312 </w:t>
            </w:r>
          </w:p>
        </w:tc>
        <w:tc>
          <w:tcPr>
            <w:tcW w:w="993"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826 </w:t>
            </w:r>
          </w:p>
        </w:tc>
        <w:tc>
          <w:tcPr>
            <w:tcW w:w="124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1.485 </w:t>
            </w:r>
          </w:p>
        </w:tc>
      </w:tr>
      <w:tr w:rsidR="00243587" w:rsidRPr="00E26D38" w:rsidTr="004318D2">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243587" w:rsidRPr="00A77A2F" w:rsidRDefault="00243587" w:rsidP="00156F2F">
            <w:pPr>
              <w:spacing w:after="0" w:line="240" w:lineRule="auto"/>
              <w:rPr>
                <w:rFonts w:cs="Arial"/>
                <w:sz w:val="18"/>
                <w:szCs w:val="18"/>
              </w:rPr>
            </w:pPr>
            <w:proofErr w:type="spellStart"/>
            <w:r w:rsidRPr="00A77A2F">
              <w:rPr>
                <w:rFonts w:cs="Arial"/>
                <w:sz w:val="18"/>
                <w:szCs w:val="18"/>
              </w:rPr>
              <w:t>Viškovo</w:t>
            </w:r>
            <w:proofErr w:type="spellEnd"/>
            <w:r w:rsidRPr="00A77A2F">
              <w:rPr>
                <w:rFonts w:cs="Arial"/>
                <w:sz w:val="18"/>
                <w:szCs w:val="18"/>
              </w:rPr>
              <w:t>/općina</w:t>
            </w:r>
          </w:p>
        </w:tc>
        <w:tc>
          <w:tcPr>
            <w:tcW w:w="1230"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547 </w:t>
            </w:r>
          </w:p>
        </w:tc>
        <w:tc>
          <w:tcPr>
            <w:tcW w:w="1115" w:type="dxa"/>
            <w:tcBorders>
              <w:top w:val="nil"/>
              <w:left w:val="nil"/>
              <w:bottom w:val="single" w:sz="4" w:space="0" w:color="FFFFFF"/>
              <w:right w:val="single" w:sz="4" w:space="0" w:color="FFFFFF"/>
            </w:tcBorders>
            <w:shd w:val="clear" w:color="auto" w:fill="E7EDF5"/>
            <w:vAlign w:val="center"/>
          </w:tcPr>
          <w:p w:rsidR="00243587" w:rsidRPr="00243587" w:rsidRDefault="00243587" w:rsidP="00156F2F">
            <w:pPr>
              <w:spacing w:after="0" w:line="240" w:lineRule="auto"/>
              <w:jc w:val="right"/>
              <w:rPr>
                <w:rFonts w:cs="Arial"/>
                <w:sz w:val="18"/>
                <w:szCs w:val="18"/>
              </w:rPr>
            </w:pPr>
            <w:r w:rsidRPr="00243587">
              <w:rPr>
                <w:rFonts w:cs="Arial"/>
                <w:sz w:val="18"/>
                <w:szCs w:val="18"/>
              </w:rPr>
              <w:t xml:space="preserve">2.238 </w:t>
            </w:r>
          </w:p>
        </w:tc>
        <w:tc>
          <w:tcPr>
            <w:tcW w:w="122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1.055.521 </w:t>
            </w:r>
          </w:p>
        </w:tc>
        <w:tc>
          <w:tcPr>
            <w:tcW w:w="110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59.065 </w:t>
            </w:r>
          </w:p>
        </w:tc>
        <w:tc>
          <w:tcPr>
            <w:tcW w:w="993"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13.297 </w:t>
            </w:r>
          </w:p>
        </w:tc>
        <w:tc>
          <w:tcPr>
            <w:tcW w:w="1246" w:type="dxa"/>
            <w:tcBorders>
              <w:top w:val="nil"/>
              <w:left w:val="nil"/>
              <w:bottom w:val="single" w:sz="4" w:space="0" w:color="FFFFFF"/>
              <w:right w:val="single" w:sz="4" w:space="0" w:color="FFFFFF"/>
            </w:tcBorders>
            <w:shd w:val="clear" w:color="auto" w:fill="E7EDF5"/>
            <w:noWrap/>
            <w:vAlign w:val="center"/>
          </w:tcPr>
          <w:p w:rsidR="00243587" w:rsidRPr="00577848" w:rsidRDefault="00243587" w:rsidP="00156F2F">
            <w:pPr>
              <w:spacing w:after="0" w:line="240" w:lineRule="auto"/>
              <w:jc w:val="right"/>
              <w:rPr>
                <w:rFonts w:cs="Arial"/>
                <w:sz w:val="18"/>
                <w:szCs w:val="18"/>
              </w:rPr>
            </w:pPr>
            <w:r w:rsidRPr="00577848">
              <w:rPr>
                <w:rFonts w:cs="Arial"/>
                <w:sz w:val="18"/>
                <w:szCs w:val="18"/>
              </w:rPr>
              <w:t xml:space="preserve">45.768 </w:t>
            </w:r>
          </w:p>
        </w:tc>
      </w:tr>
      <w:tr w:rsidR="00577848" w:rsidRPr="00E26D38" w:rsidTr="00E26D38">
        <w:trPr>
          <w:trHeight w:val="283"/>
          <w:jc w:val="center"/>
        </w:trPr>
        <w:tc>
          <w:tcPr>
            <w:tcW w:w="2666" w:type="dxa"/>
            <w:tcBorders>
              <w:top w:val="nil"/>
              <w:left w:val="single" w:sz="4" w:space="0" w:color="FFFFFF"/>
              <w:bottom w:val="single" w:sz="4" w:space="0" w:color="FFFFFF"/>
              <w:right w:val="single" w:sz="4" w:space="0" w:color="FFFFFF"/>
            </w:tcBorders>
            <w:shd w:val="clear" w:color="auto" w:fill="D9D9D9" w:themeFill="background1" w:themeFillShade="D9"/>
            <w:vAlign w:val="center"/>
            <w:hideMark/>
          </w:tcPr>
          <w:p w:rsidR="00577848" w:rsidRPr="00882537" w:rsidRDefault="00577848" w:rsidP="00E26D38">
            <w:pPr>
              <w:spacing w:after="0" w:line="240" w:lineRule="auto"/>
              <w:rPr>
                <w:rFonts w:cs="Arial"/>
                <w:b/>
                <w:bCs/>
                <w:color w:val="244061" w:themeColor="accent1" w:themeShade="80"/>
                <w:sz w:val="18"/>
                <w:szCs w:val="18"/>
              </w:rPr>
            </w:pPr>
            <w:r w:rsidRPr="00882537">
              <w:rPr>
                <w:rFonts w:cs="Arial"/>
                <w:b/>
                <w:bCs/>
                <w:color w:val="244061" w:themeColor="accent1" w:themeShade="80"/>
                <w:sz w:val="18"/>
                <w:szCs w:val="18"/>
              </w:rPr>
              <w:t xml:space="preserve">Ukupno </w:t>
            </w:r>
            <w:r>
              <w:rPr>
                <w:rFonts w:cs="Arial"/>
                <w:b/>
                <w:bCs/>
                <w:color w:val="244061" w:themeColor="accent1" w:themeShade="80"/>
                <w:sz w:val="18"/>
                <w:szCs w:val="18"/>
              </w:rPr>
              <w:t xml:space="preserve">poduzetnici </w:t>
            </w:r>
            <w:r w:rsidRPr="00882537">
              <w:rPr>
                <w:rFonts w:cs="Arial"/>
                <w:b/>
                <w:bCs/>
                <w:color w:val="244061" w:themeColor="accent1" w:themeShade="80"/>
                <w:sz w:val="18"/>
                <w:szCs w:val="18"/>
              </w:rPr>
              <w:t>U</w:t>
            </w:r>
            <w:r w:rsidR="00E26D38">
              <w:rPr>
                <w:rFonts w:cs="Arial"/>
                <w:b/>
                <w:bCs/>
                <w:color w:val="244061" w:themeColor="accent1" w:themeShade="80"/>
                <w:sz w:val="18"/>
                <w:szCs w:val="18"/>
              </w:rPr>
              <w:t>AR</w:t>
            </w:r>
          </w:p>
        </w:tc>
        <w:tc>
          <w:tcPr>
            <w:tcW w:w="1230" w:type="dxa"/>
            <w:tcBorders>
              <w:top w:val="nil"/>
              <w:left w:val="nil"/>
              <w:bottom w:val="single" w:sz="4" w:space="0" w:color="FFFFFF"/>
              <w:right w:val="single" w:sz="4" w:space="0" w:color="FFFFFF"/>
            </w:tcBorders>
            <w:shd w:val="clear" w:color="auto" w:fill="D9D9D9" w:themeFill="background1" w:themeFillShade="D9"/>
            <w:noWrap/>
            <w:vAlign w:val="center"/>
          </w:tcPr>
          <w:p w:rsidR="00577848" w:rsidRPr="00577848" w:rsidRDefault="00577848" w:rsidP="00156F2F">
            <w:pPr>
              <w:spacing w:after="0" w:line="240" w:lineRule="auto"/>
              <w:jc w:val="right"/>
              <w:rPr>
                <w:rFonts w:cs="Arial"/>
                <w:b/>
                <w:color w:val="244061" w:themeColor="accent1" w:themeShade="80"/>
                <w:sz w:val="18"/>
                <w:szCs w:val="18"/>
              </w:rPr>
            </w:pPr>
            <w:r w:rsidRPr="00577848">
              <w:rPr>
                <w:rFonts w:cs="Arial"/>
                <w:b/>
                <w:color w:val="244061" w:themeColor="accent1" w:themeShade="80"/>
                <w:sz w:val="18"/>
                <w:szCs w:val="18"/>
              </w:rPr>
              <w:t>6.612</w:t>
            </w:r>
          </w:p>
        </w:tc>
        <w:tc>
          <w:tcPr>
            <w:tcW w:w="1115" w:type="dxa"/>
            <w:tcBorders>
              <w:top w:val="nil"/>
              <w:left w:val="nil"/>
              <w:bottom w:val="single" w:sz="4" w:space="0" w:color="FFFFFF"/>
              <w:right w:val="single" w:sz="4" w:space="0" w:color="FFFFFF"/>
            </w:tcBorders>
            <w:shd w:val="clear" w:color="auto" w:fill="D9D9D9" w:themeFill="background1" w:themeFillShade="D9"/>
            <w:noWrap/>
            <w:vAlign w:val="center"/>
          </w:tcPr>
          <w:p w:rsidR="00577848" w:rsidRPr="00577848" w:rsidRDefault="00243587" w:rsidP="00156F2F">
            <w:pPr>
              <w:spacing w:after="0" w:line="240" w:lineRule="auto"/>
              <w:jc w:val="right"/>
              <w:rPr>
                <w:rFonts w:cs="Arial"/>
                <w:b/>
                <w:color w:val="244061" w:themeColor="accent1" w:themeShade="80"/>
                <w:sz w:val="18"/>
                <w:szCs w:val="18"/>
              </w:rPr>
            </w:pPr>
            <w:r>
              <w:rPr>
                <w:rFonts w:cs="Arial"/>
                <w:b/>
                <w:color w:val="244061" w:themeColor="accent1" w:themeShade="80"/>
                <w:sz w:val="18"/>
                <w:szCs w:val="18"/>
              </w:rPr>
              <w:t>40.995</w:t>
            </w:r>
          </w:p>
        </w:tc>
        <w:tc>
          <w:tcPr>
            <w:tcW w:w="1226" w:type="dxa"/>
            <w:tcBorders>
              <w:top w:val="nil"/>
              <w:left w:val="nil"/>
              <w:bottom w:val="single" w:sz="4" w:space="0" w:color="FFFFFF"/>
              <w:right w:val="single" w:sz="4" w:space="0" w:color="FFFFFF"/>
            </w:tcBorders>
            <w:shd w:val="clear" w:color="auto" w:fill="D9D9D9" w:themeFill="background1" w:themeFillShade="D9"/>
            <w:noWrap/>
            <w:vAlign w:val="center"/>
          </w:tcPr>
          <w:p w:rsidR="00577848" w:rsidRPr="00577848" w:rsidRDefault="00577848" w:rsidP="00156F2F">
            <w:pPr>
              <w:spacing w:after="0" w:line="240" w:lineRule="auto"/>
              <w:jc w:val="right"/>
              <w:rPr>
                <w:rFonts w:cs="Arial"/>
                <w:b/>
                <w:color w:val="244061" w:themeColor="accent1" w:themeShade="80"/>
                <w:sz w:val="18"/>
                <w:szCs w:val="18"/>
              </w:rPr>
            </w:pPr>
            <w:r w:rsidRPr="00577848">
              <w:rPr>
                <w:rFonts w:cs="Arial"/>
                <w:b/>
                <w:color w:val="244061" w:themeColor="accent1" w:themeShade="80"/>
                <w:sz w:val="18"/>
                <w:szCs w:val="18"/>
              </w:rPr>
              <w:t xml:space="preserve">24.736.775 </w:t>
            </w:r>
          </w:p>
        </w:tc>
        <w:tc>
          <w:tcPr>
            <w:tcW w:w="1106" w:type="dxa"/>
            <w:tcBorders>
              <w:top w:val="nil"/>
              <w:left w:val="nil"/>
              <w:bottom w:val="single" w:sz="4" w:space="0" w:color="FFFFFF"/>
              <w:right w:val="single" w:sz="4" w:space="0" w:color="FFFFFF"/>
            </w:tcBorders>
            <w:shd w:val="clear" w:color="auto" w:fill="D9D9D9" w:themeFill="background1" w:themeFillShade="D9"/>
            <w:noWrap/>
            <w:vAlign w:val="center"/>
          </w:tcPr>
          <w:p w:rsidR="00577848" w:rsidRPr="00577848" w:rsidRDefault="00577848" w:rsidP="00156F2F">
            <w:pPr>
              <w:spacing w:after="0" w:line="240" w:lineRule="auto"/>
              <w:jc w:val="right"/>
              <w:rPr>
                <w:rFonts w:cs="Arial"/>
                <w:b/>
                <w:color w:val="244061" w:themeColor="accent1" w:themeShade="80"/>
                <w:sz w:val="18"/>
                <w:szCs w:val="18"/>
              </w:rPr>
            </w:pPr>
            <w:r w:rsidRPr="00577848">
              <w:rPr>
                <w:rFonts w:cs="Arial"/>
                <w:b/>
                <w:color w:val="244061" w:themeColor="accent1" w:themeShade="80"/>
                <w:sz w:val="18"/>
                <w:szCs w:val="18"/>
              </w:rPr>
              <w:t xml:space="preserve">1.424.890 </w:t>
            </w:r>
          </w:p>
        </w:tc>
        <w:tc>
          <w:tcPr>
            <w:tcW w:w="993" w:type="dxa"/>
            <w:tcBorders>
              <w:top w:val="nil"/>
              <w:left w:val="nil"/>
              <w:bottom w:val="single" w:sz="4" w:space="0" w:color="FFFFFF"/>
              <w:right w:val="single" w:sz="4" w:space="0" w:color="FFFFFF"/>
            </w:tcBorders>
            <w:shd w:val="clear" w:color="auto" w:fill="D9D9D9" w:themeFill="background1" w:themeFillShade="D9"/>
            <w:noWrap/>
            <w:vAlign w:val="center"/>
          </w:tcPr>
          <w:p w:rsidR="00577848" w:rsidRPr="00577848" w:rsidRDefault="00577848" w:rsidP="00156F2F">
            <w:pPr>
              <w:spacing w:after="0" w:line="240" w:lineRule="auto"/>
              <w:jc w:val="right"/>
              <w:rPr>
                <w:rFonts w:cs="Arial"/>
                <w:b/>
                <w:color w:val="244061" w:themeColor="accent1" w:themeShade="80"/>
                <w:sz w:val="18"/>
                <w:szCs w:val="18"/>
              </w:rPr>
            </w:pPr>
            <w:r w:rsidRPr="00577848">
              <w:rPr>
                <w:rFonts w:cs="Arial"/>
                <w:b/>
                <w:color w:val="244061" w:themeColor="accent1" w:themeShade="80"/>
                <w:sz w:val="18"/>
                <w:szCs w:val="18"/>
              </w:rPr>
              <w:t xml:space="preserve">439.210 </w:t>
            </w:r>
          </w:p>
        </w:tc>
        <w:tc>
          <w:tcPr>
            <w:tcW w:w="1246" w:type="dxa"/>
            <w:tcBorders>
              <w:top w:val="nil"/>
              <w:left w:val="nil"/>
              <w:bottom w:val="single" w:sz="4" w:space="0" w:color="FFFFFF"/>
              <w:right w:val="single" w:sz="4" w:space="0" w:color="FFFFFF"/>
            </w:tcBorders>
            <w:shd w:val="clear" w:color="auto" w:fill="D9D9D9" w:themeFill="background1" w:themeFillShade="D9"/>
            <w:noWrap/>
            <w:vAlign w:val="center"/>
          </w:tcPr>
          <w:p w:rsidR="00577848" w:rsidRPr="00577848" w:rsidRDefault="00577848" w:rsidP="00156F2F">
            <w:pPr>
              <w:spacing w:after="0" w:line="240" w:lineRule="auto"/>
              <w:jc w:val="right"/>
              <w:rPr>
                <w:rFonts w:cs="Arial"/>
                <w:b/>
                <w:color w:val="244061" w:themeColor="accent1" w:themeShade="80"/>
                <w:sz w:val="18"/>
                <w:szCs w:val="18"/>
              </w:rPr>
            </w:pPr>
            <w:r w:rsidRPr="00577848">
              <w:rPr>
                <w:rFonts w:cs="Arial"/>
                <w:b/>
                <w:color w:val="244061" w:themeColor="accent1" w:themeShade="80"/>
                <w:sz w:val="18"/>
                <w:szCs w:val="18"/>
              </w:rPr>
              <w:t xml:space="preserve">985.680 </w:t>
            </w:r>
          </w:p>
        </w:tc>
      </w:tr>
    </w:tbl>
    <w:p w:rsidR="00E65163" w:rsidRPr="00A77A2F"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w:t>
      </w:r>
      <w:r w:rsidR="00906215">
        <w:rPr>
          <w:bCs/>
          <w:i/>
          <w:color w:val="17365D"/>
          <w:sz w:val="16"/>
          <w:szCs w:val="18"/>
        </w:rPr>
        <w:t>6</w:t>
      </w:r>
      <w:r w:rsidRPr="00A77A2F">
        <w:rPr>
          <w:bCs/>
          <w:i/>
          <w:color w:val="17365D"/>
          <w:sz w:val="16"/>
          <w:szCs w:val="18"/>
        </w:rPr>
        <w:t>. godinu</w:t>
      </w:r>
    </w:p>
    <w:p w:rsidR="00156F2F" w:rsidRDefault="00E65163" w:rsidP="00626754">
      <w:pPr>
        <w:widowControl w:val="0"/>
        <w:tabs>
          <w:tab w:val="left" w:pos="567"/>
        </w:tabs>
        <w:spacing w:before="180"/>
        <w:jc w:val="both"/>
        <w:rPr>
          <w:color w:val="244061" w:themeColor="accent1" w:themeShade="80"/>
          <w:sz w:val="20"/>
        </w:rPr>
      </w:pPr>
      <w:r w:rsidRPr="00882537">
        <w:rPr>
          <w:rFonts w:eastAsia="Calibri" w:cs="Arial"/>
          <w:color w:val="244061" w:themeColor="accent1" w:themeShade="80"/>
          <w:sz w:val="20"/>
          <w:lang w:eastAsia="en-US"/>
        </w:rPr>
        <w:t>U 201</w:t>
      </w:r>
      <w:r w:rsidR="00577848">
        <w:rPr>
          <w:rFonts w:eastAsia="Calibri" w:cs="Arial"/>
          <w:color w:val="244061" w:themeColor="accent1" w:themeShade="80"/>
          <w:sz w:val="20"/>
          <w:lang w:eastAsia="en-US"/>
        </w:rPr>
        <w:t>6</w:t>
      </w:r>
      <w:r w:rsidRPr="00882537">
        <w:rPr>
          <w:rFonts w:eastAsia="Calibri" w:cs="Arial"/>
          <w:color w:val="244061" w:themeColor="accent1" w:themeShade="80"/>
          <w:sz w:val="20"/>
          <w:lang w:eastAsia="en-US"/>
        </w:rPr>
        <w:t>. godini poduzetnici čije je sjedište u jednom od gradova i općina obuhvaćenih Urbanom aglomeracijom Rijeka, ostvarili su ukupan prihod u iznosu od 24,</w:t>
      </w:r>
      <w:r w:rsidR="00577848">
        <w:rPr>
          <w:rFonts w:eastAsia="Calibri" w:cs="Arial"/>
          <w:color w:val="244061" w:themeColor="accent1" w:themeShade="80"/>
          <w:sz w:val="20"/>
          <w:lang w:eastAsia="en-US"/>
        </w:rPr>
        <w:t>7</w:t>
      </w:r>
      <w:r w:rsidRPr="00882537">
        <w:rPr>
          <w:rFonts w:eastAsia="Calibri" w:cs="Arial"/>
          <w:color w:val="244061" w:themeColor="accent1" w:themeShade="80"/>
          <w:sz w:val="20"/>
          <w:lang w:eastAsia="en-US"/>
        </w:rPr>
        <w:t xml:space="preserve"> milijardi kuna, što je povećanje od </w:t>
      </w:r>
      <w:r w:rsidR="00577848">
        <w:rPr>
          <w:rFonts w:eastAsia="Calibri" w:cs="Arial"/>
          <w:color w:val="244061" w:themeColor="accent1" w:themeShade="80"/>
          <w:sz w:val="20"/>
          <w:lang w:eastAsia="en-US"/>
        </w:rPr>
        <w:t>4,8</w:t>
      </w:r>
      <w:r w:rsidR="000E56E2">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u odnosu na prethodnu poslovnu godinu.</w:t>
      </w:r>
      <w:r w:rsidRPr="00882537">
        <w:rPr>
          <w:color w:val="244061" w:themeColor="accent1" w:themeShade="80"/>
          <w:sz w:val="20"/>
        </w:rPr>
        <w:t xml:space="preserve"> </w:t>
      </w:r>
    </w:p>
    <w:p w:rsidR="00E65163" w:rsidRPr="00882537" w:rsidRDefault="00E65163" w:rsidP="00152A99">
      <w:pPr>
        <w:pageBreakBefore/>
        <w:widowControl w:val="0"/>
        <w:tabs>
          <w:tab w:val="left" w:pos="567"/>
        </w:tabs>
        <w:spacing w:after="0"/>
        <w:jc w:val="both"/>
        <w:rPr>
          <w:rFonts w:eastAsia="Calibri" w:cs="Arial"/>
          <w:color w:val="244061" w:themeColor="accent1" w:themeShade="80"/>
          <w:sz w:val="20"/>
          <w:lang w:eastAsia="en-US"/>
        </w:rPr>
      </w:pPr>
      <w:r w:rsidRPr="00882537">
        <w:rPr>
          <w:color w:val="244061" w:themeColor="accent1" w:themeShade="80"/>
          <w:sz w:val="20"/>
        </w:rPr>
        <w:lastRenderedPageBreak/>
        <w:t xml:space="preserve">U ostvarenim ukupnim prihodima </w:t>
      </w:r>
      <w:r w:rsidR="000B1AA0">
        <w:rPr>
          <w:color w:val="244061" w:themeColor="accent1" w:themeShade="80"/>
          <w:sz w:val="20"/>
        </w:rPr>
        <w:t>poduzetnika U</w:t>
      </w:r>
      <w:r>
        <w:rPr>
          <w:color w:val="244061" w:themeColor="accent1" w:themeShade="80"/>
          <w:sz w:val="20"/>
        </w:rPr>
        <w:t xml:space="preserve">rbane aglomeracije Rijeka </w:t>
      </w:r>
      <w:r w:rsidRPr="00882537">
        <w:rPr>
          <w:rFonts w:eastAsia="Calibri" w:cs="Arial"/>
          <w:color w:val="244061" w:themeColor="accent1" w:themeShade="80"/>
          <w:sz w:val="20"/>
          <w:lang w:eastAsia="en-US"/>
        </w:rPr>
        <w:t>najveći je udio poduzetnika Rijeke (7</w:t>
      </w:r>
      <w:r w:rsidR="00577848">
        <w:rPr>
          <w:rFonts w:eastAsia="Calibri" w:cs="Arial"/>
          <w:color w:val="244061" w:themeColor="accent1" w:themeShade="80"/>
          <w:sz w:val="20"/>
          <w:lang w:eastAsia="en-US"/>
        </w:rPr>
        <w:t>4,9</w:t>
      </w:r>
      <w:r w:rsidR="000E56E2">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sa ostvarenih 18,</w:t>
      </w:r>
      <w:r w:rsidR="00DC25AD">
        <w:rPr>
          <w:rFonts w:eastAsia="Calibri" w:cs="Arial"/>
          <w:color w:val="244061" w:themeColor="accent1" w:themeShade="80"/>
          <w:sz w:val="20"/>
          <w:lang w:eastAsia="en-US"/>
        </w:rPr>
        <w:t>5</w:t>
      </w:r>
      <w:r w:rsidRPr="00882537">
        <w:rPr>
          <w:rFonts w:eastAsia="Calibri" w:cs="Arial"/>
          <w:color w:val="244061" w:themeColor="accent1" w:themeShade="80"/>
          <w:sz w:val="20"/>
          <w:lang w:eastAsia="en-US"/>
        </w:rPr>
        <w:t xml:space="preserve"> milijarde kuna te poduzetnika Opatije (</w:t>
      </w:r>
      <w:r w:rsidR="00DC25AD">
        <w:rPr>
          <w:rFonts w:eastAsia="Calibri" w:cs="Arial"/>
          <w:color w:val="244061" w:themeColor="accent1" w:themeShade="80"/>
          <w:sz w:val="20"/>
          <w:lang w:eastAsia="en-US"/>
        </w:rPr>
        <w:t>9</w:t>
      </w:r>
      <w:r w:rsidRPr="00882537">
        <w:rPr>
          <w:rFonts w:eastAsia="Calibri" w:cs="Arial"/>
          <w:color w:val="244061" w:themeColor="accent1" w:themeShade="80"/>
          <w:sz w:val="20"/>
          <w:lang w:eastAsia="en-US"/>
        </w:rPr>
        <w:t>,</w:t>
      </w:r>
      <w:r w:rsidR="00DC25AD">
        <w:rPr>
          <w:rFonts w:eastAsia="Calibri" w:cs="Arial"/>
          <w:color w:val="244061" w:themeColor="accent1" w:themeShade="80"/>
          <w:sz w:val="20"/>
          <w:lang w:eastAsia="en-US"/>
        </w:rPr>
        <w:t>1</w:t>
      </w:r>
      <w:r w:rsidR="000E56E2">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xml:space="preserve">%), sa </w:t>
      </w:r>
      <w:r w:rsidR="00DC25AD">
        <w:rPr>
          <w:rFonts w:eastAsia="Calibri" w:cs="Arial"/>
          <w:color w:val="244061" w:themeColor="accent1" w:themeShade="80"/>
          <w:sz w:val="20"/>
          <w:lang w:eastAsia="en-US"/>
        </w:rPr>
        <w:t>2,</w:t>
      </w:r>
      <w:proofErr w:type="spellStart"/>
      <w:r w:rsidR="00DC25AD">
        <w:rPr>
          <w:rFonts w:eastAsia="Calibri" w:cs="Arial"/>
          <w:color w:val="244061" w:themeColor="accent1" w:themeShade="80"/>
          <w:sz w:val="20"/>
          <w:lang w:eastAsia="en-US"/>
        </w:rPr>
        <w:t>2</w:t>
      </w:r>
      <w:proofErr w:type="spellEnd"/>
      <w:r w:rsidRPr="00882537">
        <w:rPr>
          <w:rFonts w:eastAsia="Calibri" w:cs="Arial"/>
          <w:color w:val="244061" w:themeColor="accent1" w:themeShade="80"/>
          <w:sz w:val="20"/>
          <w:lang w:eastAsia="en-US"/>
        </w:rPr>
        <w:t xml:space="preserve"> milijard</w:t>
      </w:r>
      <w:r w:rsidR="00152A99">
        <w:rPr>
          <w:rFonts w:eastAsia="Calibri" w:cs="Arial"/>
          <w:color w:val="244061" w:themeColor="accent1" w:themeShade="80"/>
          <w:sz w:val="20"/>
          <w:lang w:eastAsia="en-US"/>
        </w:rPr>
        <w:t>e</w:t>
      </w:r>
      <w:r w:rsidRPr="00882537">
        <w:rPr>
          <w:rFonts w:eastAsia="Calibri" w:cs="Arial"/>
          <w:color w:val="244061" w:themeColor="accent1" w:themeShade="80"/>
          <w:sz w:val="20"/>
          <w:lang w:eastAsia="en-US"/>
        </w:rPr>
        <w:t xml:space="preserve"> kuna i Kastva (</w:t>
      </w:r>
      <w:r w:rsidR="00DC25AD">
        <w:rPr>
          <w:rFonts w:eastAsia="Calibri" w:cs="Arial"/>
          <w:color w:val="244061" w:themeColor="accent1" w:themeShade="80"/>
          <w:sz w:val="20"/>
          <w:lang w:eastAsia="en-US"/>
        </w:rPr>
        <w:t>6,6</w:t>
      </w:r>
      <w:r w:rsidR="000E56E2">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sa 1,</w:t>
      </w:r>
      <w:r w:rsidR="00DC25AD">
        <w:rPr>
          <w:rFonts w:eastAsia="Calibri" w:cs="Arial"/>
          <w:color w:val="244061" w:themeColor="accent1" w:themeShade="80"/>
          <w:sz w:val="20"/>
          <w:lang w:eastAsia="en-US"/>
        </w:rPr>
        <w:t>6</w:t>
      </w:r>
      <w:r w:rsidRPr="00882537">
        <w:rPr>
          <w:rFonts w:eastAsia="Calibri" w:cs="Arial"/>
          <w:color w:val="244061" w:themeColor="accent1" w:themeShade="80"/>
          <w:sz w:val="20"/>
          <w:lang w:eastAsia="en-US"/>
        </w:rPr>
        <w:t xml:space="preserve"> milijardi kuna.</w:t>
      </w:r>
    </w:p>
    <w:p w:rsidR="00E65163" w:rsidRPr="00A77A2F" w:rsidRDefault="00E65163" w:rsidP="00152A99">
      <w:pPr>
        <w:tabs>
          <w:tab w:val="left" w:pos="5954"/>
        </w:tabs>
        <w:spacing w:before="180" w:after="40" w:line="240" w:lineRule="auto"/>
        <w:ind w:left="1134" w:hanging="1134"/>
        <w:rPr>
          <w:rFonts w:eastAsia="Calibri" w:cs="Arial"/>
          <w:color w:val="244061"/>
          <w:sz w:val="16"/>
          <w:szCs w:val="18"/>
          <w:lang w:eastAsia="en-US"/>
        </w:rPr>
      </w:pPr>
      <w:r w:rsidRPr="00E26D38">
        <w:rPr>
          <w:rFonts w:eastAsia="Calibri" w:cs="Arial"/>
          <w:b/>
          <w:color w:val="17365D"/>
          <w:sz w:val="18"/>
          <w:szCs w:val="18"/>
          <w:lang w:eastAsia="en-US"/>
        </w:rPr>
        <w:t xml:space="preserve">Tablica </w:t>
      </w:r>
      <w:r w:rsidR="00B0422F" w:rsidRPr="00E26D38">
        <w:rPr>
          <w:rFonts w:eastAsia="Calibri" w:cs="Arial"/>
          <w:b/>
          <w:color w:val="17365D"/>
          <w:sz w:val="18"/>
          <w:szCs w:val="18"/>
          <w:lang w:eastAsia="en-US"/>
        </w:rPr>
        <w:t>2</w:t>
      </w:r>
      <w:r w:rsidRPr="00E26D38">
        <w:rPr>
          <w:rFonts w:eastAsia="Calibri" w:cs="Arial"/>
          <w:b/>
          <w:color w:val="17365D"/>
          <w:sz w:val="18"/>
          <w:szCs w:val="18"/>
          <w:lang w:eastAsia="en-US"/>
        </w:rPr>
        <w:t>.</w:t>
      </w:r>
      <w:r w:rsidRPr="00E26D38">
        <w:rPr>
          <w:rFonts w:eastAsia="Calibri" w:cs="Arial"/>
          <w:b/>
          <w:color w:val="17365D"/>
          <w:sz w:val="18"/>
          <w:szCs w:val="18"/>
          <w:lang w:eastAsia="en-US"/>
        </w:rPr>
        <w:tab/>
      </w:r>
      <w:r w:rsidRPr="00E26D38">
        <w:rPr>
          <w:rFonts w:eastAsia="Calibri" w:cs="Arial"/>
          <w:b/>
          <w:color w:val="244061"/>
          <w:sz w:val="18"/>
          <w:szCs w:val="18"/>
          <w:lang w:eastAsia="en-US"/>
        </w:rPr>
        <w:t>Osnovni financijski podaci poslovanja poduzetnika na području Urbane aglomeracije Rijeka i poduzetnika Primorsko-goranske županije u 201</w:t>
      </w:r>
      <w:r w:rsidR="00760CE8" w:rsidRPr="00E26D38">
        <w:rPr>
          <w:rFonts w:eastAsia="Calibri" w:cs="Arial"/>
          <w:b/>
          <w:color w:val="244061"/>
          <w:sz w:val="18"/>
          <w:szCs w:val="18"/>
          <w:lang w:eastAsia="en-US"/>
        </w:rPr>
        <w:t>6</w:t>
      </w:r>
      <w:r w:rsidRPr="00E26D38">
        <w:rPr>
          <w:rFonts w:eastAsia="Calibri" w:cs="Arial"/>
          <w:b/>
          <w:color w:val="244061"/>
          <w:sz w:val="18"/>
          <w:szCs w:val="18"/>
          <w:lang w:eastAsia="en-US"/>
        </w:rPr>
        <w:t xml:space="preserve">. </w:t>
      </w:r>
      <w:r w:rsidR="00E26D38">
        <w:rPr>
          <w:rFonts w:eastAsia="Calibri" w:cs="Arial"/>
          <w:b/>
          <w:color w:val="244061"/>
          <w:sz w:val="18"/>
          <w:szCs w:val="18"/>
          <w:lang w:eastAsia="en-US"/>
        </w:rPr>
        <w:t>g.</w:t>
      </w:r>
      <w:r w:rsidR="00E26D38">
        <w:rPr>
          <w:rFonts w:eastAsia="Calibri" w:cs="Arial"/>
          <w:b/>
          <w:color w:val="244061"/>
          <w:sz w:val="18"/>
          <w:szCs w:val="18"/>
          <w:lang w:eastAsia="en-US"/>
        </w:rPr>
        <w:tab/>
      </w:r>
      <w:r w:rsidRPr="00A77A2F">
        <w:rPr>
          <w:rFonts w:eastAsia="Calibri" w:cs="Arial"/>
          <w:color w:val="244061"/>
          <w:sz w:val="16"/>
          <w:szCs w:val="18"/>
          <w:lang w:eastAsia="en-US"/>
        </w:rPr>
        <w:t>(iznosi u tis</w:t>
      </w:r>
      <w:r w:rsidR="00626754">
        <w:rPr>
          <w:rFonts w:eastAsia="Calibri" w:cs="Arial"/>
          <w:color w:val="244061"/>
          <w:sz w:val="16"/>
          <w:szCs w:val="18"/>
          <w:lang w:eastAsia="en-US"/>
        </w:rPr>
        <w:t>ućama</w:t>
      </w:r>
      <w:r w:rsidRPr="00A77A2F">
        <w:rPr>
          <w:rFonts w:eastAsia="Calibri" w:cs="Arial"/>
          <w:color w:val="244061"/>
          <w:sz w:val="16"/>
          <w:szCs w:val="18"/>
          <w:lang w:eastAsia="en-US"/>
        </w:rPr>
        <w:t xml:space="preserve"> k</w:t>
      </w:r>
      <w:r>
        <w:rPr>
          <w:rFonts w:eastAsia="Calibri" w:cs="Arial"/>
          <w:color w:val="244061"/>
          <w:sz w:val="16"/>
          <w:szCs w:val="18"/>
          <w:lang w:eastAsia="en-US"/>
        </w:rPr>
        <w:t>un</w:t>
      </w:r>
      <w:r w:rsidRPr="00A77A2F">
        <w:rPr>
          <w:rFonts w:eastAsia="Calibri" w:cs="Arial"/>
          <w:color w:val="244061"/>
          <w:sz w:val="16"/>
          <w:szCs w:val="18"/>
          <w:lang w:eastAsia="en-US"/>
        </w:rPr>
        <w:t>a, prosječne plaće u kunama)</w:t>
      </w:r>
    </w:p>
    <w:tbl>
      <w:tblPr>
        <w:tblW w:w="9582" w:type="dxa"/>
        <w:jc w:val="center"/>
        <w:tblLayout w:type="fixed"/>
        <w:tblLook w:val="04A0" w:firstRow="1" w:lastRow="0" w:firstColumn="1" w:lastColumn="0" w:noHBand="0" w:noVBand="1"/>
      </w:tblPr>
      <w:tblGrid>
        <w:gridCol w:w="3508"/>
        <w:gridCol w:w="1174"/>
        <w:gridCol w:w="1174"/>
        <w:gridCol w:w="740"/>
        <w:gridCol w:w="1123"/>
        <w:gridCol w:w="1123"/>
        <w:gridCol w:w="740"/>
      </w:tblGrid>
      <w:tr w:rsidR="00E65163" w:rsidRPr="00E26D38" w:rsidTr="00E26D38">
        <w:trPr>
          <w:trHeight w:val="283"/>
          <w:jc w:val="center"/>
        </w:trPr>
        <w:tc>
          <w:tcPr>
            <w:tcW w:w="3508" w:type="dxa"/>
            <w:vMerge w:val="restart"/>
            <w:tcBorders>
              <w:top w:val="single" w:sz="4" w:space="0" w:color="FFFFFF"/>
              <w:left w:val="nil"/>
              <w:bottom w:val="single" w:sz="4" w:space="0" w:color="BFBFBF"/>
              <w:right w:val="nil"/>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Opis</w:t>
            </w:r>
          </w:p>
        </w:tc>
        <w:tc>
          <w:tcPr>
            <w:tcW w:w="3088" w:type="dxa"/>
            <w:gridSpan w:val="3"/>
            <w:tcBorders>
              <w:top w:val="single" w:sz="4" w:space="0" w:color="FFFFFF"/>
              <w:left w:val="single" w:sz="4" w:space="0" w:color="FFFFFF"/>
              <w:bottom w:val="single" w:sz="4" w:space="0" w:color="FFFFFF"/>
              <w:right w:val="single" w:sz="4" w:space="0" w:color="FFFFFF"/>
            </w:tcBorders>
            <w:shd w:val="clear" w:color="000000" w:fill="003366"/>
            <w:vAlign w:val="center"/>
            <w:hideMark/>
          </w:tcPr>
          <w:p w:rsidR="00E65163" w:rsidRPr="00882537" w:rsidRDefault="00E65163" w:rsidP="00156F2F">
            <w:pPr>
              <w:spacing w:after="0" w:line="240" w:lineRule="auto"/>
              <w:jc w:val="center"/>
              <w:rPr>
                <w:rFonts w:cs="Arial"/>
                <w:b/>
                <w:bCs/>
                <w:color w:val="FFFFFF"/>
                <w:sz w:val="18"/>
                <w:szCs w:val="18"/>
              </w:rPr>
            </w:pPr>
            <w:r w:rsidRPr="00882537">
              <w:rPr>
                <w:rFonts w:cs="Arial"/>
                <w:b/>
                <w:bCs/>
                <w:color w:val="FFFFFF"/>
                <w:sz w:val="18"/>
                <w:szCs w:val="18"/>
              </w:rPr>
              <w:t>Urbana aglomeracija Rijeka</w:t>
            </w:r>
          </w:p>
        </w:tc>
        <w:tc>
          <w:tcPr>
            <w:tcW w:w="2986" w:type="dxa"/>
            <w:gridSpan w:val="3"/>
            <w:tcBorders>
              <w:top w:val="single" w:sz="4" w:space="0" w:color="FFFFFF"/>
              <w:left w:val="nil"/>
              <w:bottom w:val="single" w:sz="4" w:space="0" w:color="FFFFFF"/>
              <w:right w:val="single" w:sz="4" w:space="0" w:color="FFFFFF"/>
            </w:tcBorders>
            <w:shd w:val="clear" w:color="000000" w:fill="003366"/>
            <w:vAlign w:val="center"/>
            <w:hideMark/>
          </w:tcPr>
          <w:p w:rsidR="00E65163" w:rsidRPr="00882537" w:rsidRDefault="00E65163" w:rsidP="00156F2F">
            <w:pPr>
              <w:spacing w:after="0" w:line="240" w:lineRule="auto"/>
              <w:jc w:val="center"/>
              <w:rPr>
                <w:rFonts w:cs="Arial"/>
                <w:b/>
                <w:bCs/>
                <w:color w:val="FFFFFF"/>
                <w:sz w:val="18"/>
                <w:szCs w:val="18"/>
              </w:rPr>
            </w:pPr>
            <w:r w:rsidRPr="00882537">
              <w:rPr>
                <w:rFonts w:cs="Arial"/>
                <w:b/>
                <w:bCs/>
                <w:color w:val="FFFFFF"/>
                <w:sz w:val="18"/>
                <w:szCs w:val="18"/>
              </w:rPr>
              <w:t>Primorsko-goranska županija</w:t>
            </w:r>
          </w:p>
        </w:tc>
      </w:tr>
      <w:tr w:rsidR="00E65163" w:rsidRPr="00E26D38" w:rsidTr="000B1AA0">
        <w:trPr>
          <w:trHeight w:val="285"/>
          <w:jc w:val="center"/>
        </w:trPr>
        <w:tc>
          <w:tcPr>
            <w:tcW w:w="3508" w:type="dxa"/>
            <w:vMerge/>
            <w:tcBorders>
              <w:top w:val="single" w:sz="4" w:space="0" w:color="FFFFFF"/>
              <w:left w:val="nil"/>
              <w:bottom w:val="single" w:sz="4" w:space="0" w:color="BFBFBF"/>
              <w:right w:val="nil"/>
            </w:tcBorders>
            <w:vAlign w:val="center"/>
            <w:hideMark/>
          </w:tcPr>
          <w:p w:rsidR="00E65163" w:rsidRPr="00A77A2F" w:rsidRDefault="00E65163" w:rsidP="00156F2F">
            <w:pPr>
              <w:spacing w:after="0" w:line="240" w:lineRule="auto"/>
              <w:rPr>
                <w:rFonts w:cs="Arial"/>
                <w:b/>
                <w:bCs/>
                <w:color w:val="FFFFFF"/>
                <w:sz w:val="16"/>
                <w:szCs w:val="16"/>
              </w:rPr>
            </w:pPr>
          </w:p>
        </w:tc>
        <w:tc>
          <w:tcPr>
            <w:tcW w:w="1174" w:type="dxa"/>
            <w:tcBorders>
              <w:top w:val="nil"/>
              <w:left w:val="single" w:sz="4" w:space="0" w:color="FFFFFF"/>
              <w:bottom w:val="single" w:sz="4" w:space="0" w:color="FFFFFF" w:themeColor="background1"/>
              <w:right w:val="single" w:sz="4" w:space="0" w:color="FFFFFF"/>
            </w:tcBorders>
            <w:shd w:val="clear" w:color="000000" w:fill="003366"/>
            <w:vAlign w:val="center"/>
            <w:hideMark/>
          </w:tcPr>
          <w:p w:rsidR="00E65163" w:rsidRPr="00A77A2F" w:rsidRDefault="00760CE8" w:rsidP="00156F2F">
            <w:pPr>
              <w:spacing w:after="0" w:line="240" w:lineRule="auto"/>
              <w:jc w:val="center"/>
              <w:rPr>
                <w:rFonts w:cs="Arial"/>
                <w:b/>
                <w:bCs/>
                <w:color w:val="FFFFFF"/>
                <w:sz w:val="16"/>
                <w:szCs w:val="16"/>
              </w:rPr>
            </w:pPr>
            <w:r w:rsidRPr="00A77A2F">
              <w:rPr>
                <w:rFonts w:cs="Arial"/>
                <w:b/>
                <w:bCs/>
                <w:color w:val="FFFFFF"/>
                <w:sz w:val="16"/>
                <w:szCs w:val="16"/>
              </w:rPr>
              <w:t>2015</w:t>
            </w:r>
            <w:r w:rsidR="00E65163" w:rsidRPr="00A77A2F">
              <w:rPr>
                <w:rFonts w:cs="Arial"/>
                <w:b/>
                <w:bCs/>
                <w:color w:val="FFFFFF"/>
                <w:sz w:val="16"/>
                <w:szCs w:val="16"/>
              </w:rPr>
              <w:t xml:space="preserve">. </w:t>
            </w:r>
          </w:p>
        </w:tc>
        <w:tc>
          <w:tcPr>
            <w:tcW w:w="1174"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201</w:t>
            </w:r>
            <w:r w:rsidR="00760CE8">
              <w:rPr>
                <w:rFonts w:cs="Arial"/>
                <w:b/>
                <w:bCs/>
                <w:color w:val="FFFFFF"/>
                <w:sz w:val="16"/>
                <w:szCs w:val="16"/>
              </w:rPr>
              <w:t>6</w:t>
            </w:r>
            <w:r w:rsidRPr="00A77A2F">
              <w:rPr>
                <w:rFonts w:cs="Arial"/>
                <w:b/>
                <w:bCs/>
                <w:color w:val="FFFFFF"/>
                <w:sz w:val="16"/>
                <w:szCs w:val="16"/>
              </w:rPr>
              <w:t xml:space="preserve">. </w:t>
            </w:r>
          </w:p>
        </w:tc>
        <w:tc>
          <w:tcPr>
            <w:tcW w:w="740"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Indeks</w:t>
            </w:r>
          </w:p>
        </w:tc>
        <w:tc>
          <w:tcPr>
            <w:tcW w:w="1123" w:type="dxa"/>
            <w:tcBorders>
              <w:top w:val="nil"/>
              <w:left w:val="nil"/>
              <w:bottom w:val="single" w:sz="4" w:space="0" w:color="BFBFBF"/>
              <w:right w:val="single" w:sz="4" w:space="0" w:color="FFFFFF"/>
            </w:tcBorders>
            <w:shd w:val="clear" w:color="000000" w:fill="003366"/>
            <w:vAlign w:val="center"/>
            <w:hideMark/>
          </w:tcPr>
          <w:p w:rsidR="00E65163" w:rsidRPr="00A77A2F" w:rsidRDefault="00760CE8" w:rsidP="00156F2F">
            <w:pPr>
              <w:spacing w:after="0" w:line="240" w:lineRule="auto"/>
              <w:jc w:val="center"/>
              <w:rPr>
                <w:rFonts w:cs="Arial"/>
                <w:b/>
                <w:bCs/>
                <w:color w:val="FFFFFF"/>
                <w:sz w:val="16"/>
                <w:szCs w:val="16"/>
              </w:rPr>
            </w:pPr>
            <w:r w:rsidRPr="00A77A2F">
              <w:rPr>
                <w:rFonts w:cs="Arial"/>
                <w:b/>
                <w:bCs/>
                <w:color w:val="FFFFFF"/>
                <w:sz w:val="16"/>
                <w:szCs w:val="16"/>
              </w:rPr>
              <w:t>2015</w:t>
            </w:r>
            <w:r w:rsidR="00E65163" w:rsidRPr="00A77A2F">
              <w:rPr>
                <w:rFonts w:cs="Arial"/>
                <w:b/>
                <w:bCs/>
                <w:color w:val="FFFFFF"/>
                <w:sz w:val="16"/>
                <w:szCs w:val="16"/>
              </w:rPr>
              <w:t xml:space="preserve"> </w:t>
            </w:r>
          </w:p>
        </w:tc>
        <w:tc>
          <w:tcPr>
            <w:tcW w:w="1123" w:type="dxa"/>
            <w:tcBorders>
              <w:top w:val="nil"/>
              <w:left w:val="nil"/>
              <w:bottom w:val="single" w:sz="4" w:space="0" w:color="BFBFBF"/>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201</w:t>
            </w:r>
            <w:r w:rsidR="00760CE8">
              <w:rPr>
                <w:rFonts w:cs="Arial"/>
                <w:b/>
                <w:bCs/>
                <w:color w:val="FFFFFF"/>
                <w:sz w:val="16"/>
                <w:szCs w:val="16"/>
              </w:rPr>
              <w:t>6</w:t>
            </w:r>
            <w:r w:rsidRPr="00A77A2F">
              <w:rPr>
                <w:rFonts w:cs="Arial"/>
                <w:b/>
                <w:bCs/>
                <w:color w:val="FFFFFF"/>
                <w:sz w:val="16"/>
                <w:szCs w:val="16"/>
              </w:rPr>
              <w:t xml:space="preserve">. </w:t>
            </w:r>
          </w:p>
        </w:tc>
        <w:tc>
          <w:tcPr>
            <w:tcW w:w="740" w:type="dxa"/>
            <w:tcBorders>
              <w:top w:val="nil"/>
              <w:left w:val="nil"/>
              <w:bottom w:val="single" w:sz="4" w:space="0" w:color="BFBFBF"/>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Indeks</w:t>
            </w:r>
          </w:p>
        </w:tc>
      </w:tr>
      <w:tr w:rsidR="00E65163"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E65163" w:rsidRPr="00A77A2F" w:rsidRDefault="00E65163" w:rsidP="00156F2F">
            <w:pPr>
              <w:spacing w:after="0" w:line="240" w:lineRule="auto"/>
              <w:rPr>
                <w:rFonts w:cs="Arial"/>
                <w:color w:val="244061"/>
                <w:sz w:val="18"/>
                <w:szCs w:val="18"/>
              </w:rPr>
            </w:pPr>
            <w:r w:rsidRPr="00A77A2F">
              <w:rPr>
                <w:rFonts w:cs="Arial"/>
                <w:color w:val="244061"/>
                <w:sz w:val="18"/>
                <w:szCs w:val="18"/>
              </w:rPr>
              <w:t>Broj poduzetnika</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E65163" w:rsidRPr="00A77A2F" w:rsidRDefault="00E65163" w:rsidP="00156F2F">
            <w:pPr>
              <w:spacing w:after="0" w:line="240" w:lineRule="auto"/>
              <w:jc w:val="right"/>
              <w:rPr>
                <w:rFonts w:cs="Arial"/>
                <w:color w:val="244061"/>
                <w:sz w:val="18"/>
                <w:szCs w:val="18"/>
              </w:rPr>
            </w:pP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E65163" w:rsidRPr="00E26D38" w:rsidRDefault="00760CE8" w:rsidP="00156F2F">
            <w:pPr>
              <w:spacing w:after="0" w:line="240" w:lineRule="auto"/>
              <w:jc w:val="right"/>
              <w:rPr>
                <w:rFonts w:cs="Arial"/>
                <w:color w:val="244061"/>
                <w:sz w:val="18"/>
                <w:szCs w:val="18"/>
              </w:rPr>
            </w:pPr>
            <w:r w:rsidRPr="00E26D38">
              <w:rPr>
                <w:rFonts w:cs="Arial"/>
                <w:color w:val="244061"/>
                <w:sz w:val="18"/>
                <w:szCs w:val="18"/>
              </w:rPr>
              <w:t>6.612</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E65163" w:rsidRPr="00E26D38" w:rsidRDefault="00E65163" w:rsidP="00156F2F">
            <w:pPr>
              <w:spacing w:after="0" w:line="240" w:lineRule="auto"/>
              <w:jc w:val="right"/>
              <w:rPr>
                <w:rFonts w:cs="Arial"/>
                <w:color w:val="244061"/>
                <w:sz w:val="18"/>
                <w:szCs w:val="18"/>
              </w:rPr>
            </w:pP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E65163" w:rsidRPr="00E26D38" w:rsidRDefault="00E65163" w:rsidP="00156F2F">
            <w:pPr>
              <w:spacing w:after="0" w:line="240" w:lineRule="auto"/>
              <w:jc w:val="right"/>
              <w:rPr>
                <w:rFonts w:cs="Arial"/>
                <w:color w:val="244061"/>
                <w:sz w:val="18"/>
                <w:szCs w:val="18"/>
              </w:rPr>
            </w:pP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E65163" w:rsidRPr="00E26D38" w:rsidRDefault="00760CE8" w:rsidP="00156F2F">
            <w:pPr>
              <w:spacing w:after="0" w:line="240" w:lineRule="auto"/>
              <w:jc w:val="right"/>
              <w:rPr>
                <w:rFonts w:cs="Arial"/>
                <w:color w:val="244061"/>
                <w:sz w:val="18"/>
                <w:szCs w:val="18"/>
              </w:rPr>
            </w:pPr>
            <w:r w:rsidRPr="00E26D38">
              <w:rPr>
                <w:rFonts w:cs="Arial"/>
                <w:color w:val="244061"/>
                <w:sz w:val="18"/>
                <w:szCs w:val="18"/>
              </w:rPr>
              <w:t>9.689</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E65163" w:rsidRPr="00A77A2F" w:rsidRDefault="00E65163" w:rsidP="00156F2F">
            <w:pPr>
              <w:spacing w:after="0" w:line="240" w:lineRule="auto"/>
              <w:jc w:val="right"/>
              <w:rPr>
                <w:rFonts w:cs="Arial"/>
                <w:color w:val="244061"/>
                <w:sz w:val="18"/>
                <w:szCs w:val="18"/>
              </w:rPr>
            </w:pPr>
          </w:p>
        </w:tc>
      </w:tr>
      <w:tr w:rsidR="00760CE8"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760CE8" w:rsidRPr="00A77A2F" w:rsidRDefault="00760CE8" w:rsidP="00156F2F">
            <w:pPr>
              <w:spacing w:after="0" w:line="240" w:lineRule="auto"/>
              <w:rPr>
                <w:rFonts w:cs="Arial"/>
                <w:color w:val="244061"/>
                <w:sz w:val="18"/>
                <w:szCs w:val="18"/>
              </w:rPr>
            </w:pPr>
            <w:r w:rsidRPr="00A77A2F">
              <w:rPr>
                <w:rFonts w:cs="Arial"/>
                <w:color w:val="244061"/>
                <w:sz w:val="18"/>
                <w:szCs w:val="18"/>
              </w:rPr>
              <w:t>Broj zaposlenih</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60CE8" w:rsidRPr="00760CE8" w:rsidRDefault="00760CE8" w:rsidP="00156F2F">
            <w:pPr>
              <w:spacing w:after="0" w:line="240" w:lineRule="auto"/>
              <w:jc w:val="right"/>
              <w:rPr>
                <w:rFonts w:cs="Arial"/>
                <w:color w:val="244061"/>
                <w:sz w:val="18"/>
                <w:szCs w:val="18"/>
              </w:rPr>
            </w:pPr>
            <w:r w:rsidRPr="00760CE8">
              <w:rPr>
                <w:rFonts w:cs="Arial"/>
                <w:color w:val="244061"/>
                <w:sz w:val="18"/>
                <w:szCs w:val="18"/>
              </w:rPr>
              <w:t xml:space="preserve">39.289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60CE8" w:rsidRPr="00E26D38" w:rsidRDefault="00760CE8" w:rsidP="00156F2F">
            <w:pPr>
              <w:spacing w:after="0" w:line="240" w:lineRule="auto"/>
              <w:jc w:val="right"/>
              <w:rPr>
                <w:rFonts w:cs="Arial"/>
                <w:color w:val="244061"/>
                <w:sz w:val="18"/>
                <w:szCs w:val="18"/>
              </w:rPr>
            </w:pPr>
            <w:r w:rsidRPr="00E26D38">
              <w:rPr>
                <w:rFonts w:cs="Arial"/>
                <w:color w:val="244061"/>
                <w:sz w:val="18"/>
                <w:szCs w:val="18"/>
              </w:rPr>
              <w:t xml:space="preserve">40.995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60CE8" w:rsidRPr="00E26D38" w:rsidRDefault="00760CE8" w:rsidP="00156F2F">
            <w:pPr>
              <w:spacing w:after="0" w:line="240" w:lineRule="auto"/>
              <w:jc w:val="right"/>
              <w:rPr>
                <w:rFonts w:cs="Arial"/>
                <w:color w:val="244061"/>
                <w:sz w:val="18"/>
                <w:szCs w:val="18"/>
              </w:rPr>
            </w:pPr>
            <w:r w:rsidRPr="00E26D38">
              <w:rPr>
                <w:rFonts w:cs="Arial"/>
                <w:color w:val="244061"/>
                <w:sz w:val="18"/>
                <w:szCs w:val="18"/>
              </w:rPr>
              <w:t xml:space="preserve">104,3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760CE8" w:rsidRPr="00E26D38" w:rsidRDefault="00760CE8" w:rsidP="00156F2F">
            <w:pPr>
              <w:spacing w:after="0" w:line="240" w:lineRule="auto"/>
              <w:jc w:val="right"/>
              <w:rPr>
                <w:rFonts w:cs="Arial"/>
                <w:color w:val="244061"/>
                <w:sz w:val="18"/>
                <w:szCs w:val="18"/>
              </w:rPr>
            </w:pPr>
            <w:r w:rsidRPr="00E26D38">
              <w:rPr>
                <w:rFonts w:cs="Arial"/>
                <w:color w:val="244061"/>
                <w:sz w:val="18"/>
                <w:szCs w:val="18"/>
              </w:rPr>
              <w:t xml:space="preserve">57.556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60CE8" w:rsidRPr="00E26D38" w:rsidRDefault="00760CE8" w:rsidP="00156F2F">
            <w:pPr>
              <w:spacing w:after="0" w:line="240" w:lineRule="auto"/>
              <w:jc w:val="right"/>
              <w:rPr>
                <w:rFonts w:cs="Arial"/>
                <w:color w:val="244061"/>
                <w:sz w:val="18"/>
                <w:szCs w:val="18"/>
              </w:rPr>
            </w:pPr>
            <w:r w:rsidRPr="00E26D38">
              <w:rPr>
                <w:rFonts w:cs="Arial"/>
                <w:color w:val="244061"/>
                <w:sz w:val="18"/>
                <w:szCs w:val="18"/>
              </w:rPr>
              <w:t xml:space="preserve">60.244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60CE8" w:rsidRPr="00760CE8" w:rsidRDefault="00760CE8" w:rsidP="00156F2F">
            <w:pPr>
              <w:spacing w:after="0" w:line="240" w:lineRule="auto"/>
              <w:jc w:val="right"/>
              <w:rPr>
                <w:rFonts w:cs="Arial"/>
                <w:color w:val="244061"/>
                <w:sz w:val="18"/>
                <w:szCs w:val="18"/>
              </w:rPr>
            </w:pPr>
            <w:r w:rsidRPr="00760CE8">
              <w:rPr>
                <w:rFonts w:cs="Arial"/>
                <w:color w:val="244061"/>
                <w:sz w:val="18"/>
                <w:szCs w:val="18"/>
              </w:rPr>
              <w:t xml:space="preserve">104,7 </w:t>
            </w:r>
          </w:p>
        </w:tc>
      </w:tr>
      <w:tr w:rsidR="00707EE7"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707EE7" w:rsidRPr="00A77A2F" w:rsidRDefault="00707EE7" w:rsidP="00156F2F">
            <w:pPr>
              <w:spacing w:after="0" w:line="240" w:lineRule="auto"/>
              <w:rPr>
                <w:rFonts w:cs="Arial"/>
                <w:color w:val="244061"/>
                <w:sz w:val="18"/>
                <w:szCs w:val="18"/>
              </w:rPr>
            </w:pPr>
            <w:r w:rsidRPr="00A77A2F">
              <w:rPr>
                <w:rFonts w:cs="Arial"/>
                <w:color w:val="244061"/>
                <w:sz w:val="18"/>
                <w:szCs w:val="18"/>
              </w:rPr>
              <w:t>Ukupni prihodi</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23.606.864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24.736.775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104,8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33.363.895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34.991.604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104,9 </w:t>
            </w:r>
          </w:p>
        </w:tc>
      </w:tr>
      <w:tr w:rsidR="00707EE7"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707EE7" w:rsidRPr="00A77A2F" w:rsidRDefault="00707EE7" w:rsidP="00156F2F">
            <w:pPr>
              <w:spacing w:after="0" w:line="240" w:lineRule="auto"/>
              <w:rPr>
                <w:rFonts w:cs="Arial"/>
                <w:color w:val="244061"/>
                <w:sz w:val="18"/>
                <w:szCs w:val="18"/>
              </w:rPr>
            </w:pPr>
            <w:r w:rsidRPr="00A77A2F">
              <w:rPr>
                <w:rFonts w:cs="Arial"/>
                <w:color w:val="244061"/>
                <w:sz w:val="18"/>
                <w:szCs w:val="18"/>
              </w:rPr>
              <w:t>Ukupni rashodi</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22.674.185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23.504.840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103,7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32.341.567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33.466.951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707EE7" w:rsidRDefault="00707EE7" w:rsidP="00156F2F">
            <w:pPr>
              <w:spacing w:after="0" w:line="240" w:lineRule="auto"/>
              <w:jc w:val="right"/>
              <w:rPr>
                <w:rFonts w:cs="Arial"/>
                <w:color w:val="244061"/>
                <w:sz w:val="18"/>
                <w:szCs w:val="18"/>
              </w:rPr>
            </w:pPr>
            <w:r w:rsidRPr="00707EE7">
              <w:rPr>
                <w:rFonts w:cs="Arial"/>
                <w:color w:val="244061"/>
                <w:sz w:val="18"/>
                <w:szCs w:val="18"/>
              </w:rPr>
              <w:t xml:space="preserve">103,5 </w:t>
            </w:r>
          </w:p>
        </w:tc>
      </w:tr>
      <w:tr w:rsidR="00707EE7"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707EE7" w:rsidRPr="00A77A2F" w:rsidRDefault="00707EE7" w:rsidP="00156F2F">
            <w:pPr>
              <w:spacing w:after="0" w:line="240" w:lineRule="auto"/>
              <w:rPr>
                <w:rFonts w:cs="Arial"/>
                <w:color w:val="244061"/>
                <w:sz w:val="18"/>
                <w:szCs w:val="18"/>
              </w:rPr>
            </w:pPr>
            <w:r w:rsidRPr="00A77A2F">
              <w:rPr>
                <w:rFonts w:cs="Arial"/>
                <w:color w:val="244061"/>
                <w:sz w:val="18"/>
                <w:szCs w:val="18"/>
              </w:rPr>
              <w:t>Dobit prije oporezivanja</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1.446.943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1.670.212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115,4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2.008.161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2.264.823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112,8 </w:t>
            </w:r>
          </w:p>
        </w:tc>
      </w:tr>
      <w:tr w:rsidR="00707EE7"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707EE7" w:rsidRPr="00A77A2F" w:rsidRDefault="00707EE7" w:rsidP="00156F2F">
            <w:pPr>
              <w:spacing w:after="0" w:line="240" w:lineRule="auto"/>
              <w:rPr>
                <w:rFonts w:cs="Arial"/>
                <w:color w:val="244061"/>
                <w:sz w:val="18"/>
                <w:szCs w:val="18"/>
              </w:rPr>
            </w:pPr>
            <w:r w:rsidRPr="00A77A2F">
              <w:rPr>
                <w:rFonts w:cs="Arial"/>
                <w:color w:val="244061"/>
                <w:sz w:val="18"/>
                <w:szCs w:val="18"/>
              </w:rPr>
              <w:t>Gubitak prije oporezivanja</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514.264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438.276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85,2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985.833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740.170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F33EE9" w:rsidRDefault="00707EE7" w:rsidP="00156F2F">
            <w:pPr>
              <w:spacing w:after="0" w:line="240" w:lineRule="auto"/>
              <w:jc w:val="right"/>
              <w:rPr>
                <w:rFonts w:cs="Arial"/>
                <w:color w:val="244061"/>
                <w:sz w:val="18"/>
                <w:szCs w:val="18"/>
              </w:rPr>
            </w:pPr>
            <w:r w:rsidRPr="00F33EE9">
              <w:rPr>
                <w:rFonts w:cs="Arial"/>
                <w:color w:val="244061"/>
                <w:sz w:val="18"/>
                <w:szCs w:val="18"/>
              </w:rPr>
              <w:t xml:space="preserve">75,1 </w:t>
            </w:r>
          </w:p>
        </w:tc>
      </w:tr>
      <w:tr w:rsidR="00F33EE9"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A77A2F" w:rsidRDefault="00F33EE9" w:rsidP="00156F2F">
            <w:pPr>
              <w:spacing w:after="0" w:line="240" w:lineRule="auto"/>
              <w:rPr>
                <w:rFonts w:cs="Arial"/>
                <w:color w:val="244061"/>
                <w:sz w:val="18"/>
                <w:szCs w:val="18"/>
              </w:rPr>
            </w:pPr>
            <w:r w:rsidRPr="00A77A2F">
              <w:rPr>
                <w:rFonts w:cs="Arial"/>
                <w:color w:val="244061"/>
                <w:sz w:val="18"/>
                <w:szCs w:val="18"/>
              </w:rPr>
              <w:t>Dobit razdoblja</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1.224.852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1.424.890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116,3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1.698.565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1.929.645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113,6 </w:t>
            </w:r>
          </w:p>
        </w:tc>
      </w:tr>
      <w:tr w:rsidR="00F33EE9"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A77A2F" w:rsidRDefault="00F33EE9" w:rsidP="00156F2F">
            <w:pPr>
              <w:spacing w:after="0" w:line="240" w:lineRule="auto"/>
              <w:rPr>
                <w:rFonts w:cs="Arial"/>
                <w:color w:val="244061"/>
                <w:sz w:val="18"/>
                <w:szCs w:val="18"/>
              </w:rPr>
            </w:pPr>
            <w:r w:rsidRPr="00A77A2F">
              <w:rPr>
                <w:rFonts w:cs="Arial"/>
                <w:color w:val="244061"/>
                <w:sz w:val="18"/>
                <w:szCs w:val="18"/>
              </w:rPr>
              <w:t>Gubitak razdoblja</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504.530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439.210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87,1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975.796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738.325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75,7 </w:t>
            </w:r>
          </w:p>
        </w:tc>
      </w:tr>
      <w:tr w:rsidR="00F33EE9" w:rsidRPr="00E26D38" w:rsidTr="00E26D38">
        <w:trPr>
          <w:trHeight w:val="454"/>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3738F9" w:rsidRDefault="00F33EE9" w:rsidP="00156F2F">
            <w:pPr>
              <w:spacing w:after="0" w:line="240" w:lineRule="auto"/>
              <w:rPr>
                <w:rFonts w:cs="Arial"/>
                <w:b/>
                <w:color w:val="244061"/>
                <w:sz w:val="18"/>
                <w:szCs w:val="18"/>
              </w:rPr>
            </w:pPr>
            <w:r w:rsidRPr="003738F9">
              <w:rPr>
                <w:rFonts w:cs="Arial"/>
                <w:b/>
                <w:color w:val="244061"/>
                <w:sz w:val="18"/>
                <w:szCs w:val="18"/>
              </w:rPr>
              <w:t xml:space="preserve">Konsolidirani financijski rezultat – dobit (+) ili gubitak (-) razdoblja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DE57C3" w:rsidRDefault="00F33EE9" w:rsidP="00156F2F">
            <w:pPr>
              <w:spacing w:after="0" w:line="240" w:lineRule="auto"/>
              <w:jc w:val="right"/>
              <w:rPr>
                <w:rFonts w:cs="Arial"/>
                <w:b/>
                <w:color w:val="244061"/>
                <w:sz w:val="18"/>
                <w:szCs w:val="18"/>
              </w:rPr>
            </w:pPr>
            <w:r w:rsidRPr="00DE57C3">
              <w:rPr>
                <w:rFonts w:cs="Arial"/>
                <w:b/>
                <w:color w:val="244061"/>
                <w:sz w:val="18"/>
                <w:szCs w:val="18"/>
              </w:rPr>
              <w:t xml:space="preserve">720.322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DE57C3" w:rsidRDefault="00F33EE9" w:rsidP="00156F2F">
            <w:pPr>
              <w:spacing w:after="0" w:line="240" w:lineRule="auto"/>
              <w:jc w:val="right"/>
              <w:rPr>
                <w:rFonts w:cs="Arial"/>
                <w:b/>
                <w:color w:val="244061"/>
                <w:sz w:val="18"/>
                <w:szCs w:val="18"/>
              </w:rPr>
            </w:pPr>
            <w:r w:rsidRPr="00DE57C3">
              <w:rPr>
                <w:rFonts w:cs="Arial"/>
                <w:b/>
                <w:color w:val="244061"/>
                <w:sz w:val="18"/>
                <w:szCs w:val="18"/>
              </w:rPr>
              <w:t xml:space="preserve">985.680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DE57C3" w:rsidRDefault="00F33EE9" w:rsidP="00156F2F">
            <w:pPr>
              <w:spacing w:after="0" w:line="240" w:lineRule="auto"/>
              <w:jc w:val="right"/>
              <w:rPr>
                <w:rFonts w:cs="Arial"/>
                <w:b/>
                <w:color w:val="244061"/>
                <w:sz w:val="18"/>
                <w:szCs w:val="18"/>
              </w:rPr>
            </w:pPr>
            <w:r w:rsidRPr="00DE57C3">
              <w:rPr>
                <w:rFonts w:cs="Arial"/>
                <w:b/>
                <w:color w:val="244061"/>
                <w:sz w:val="18"/>
                <w:szCs w:val="18"/>
              </w:rPr>
              <w:t xml:space="preserve">136,8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DE57C3" w:rsidRDefault="00F33EE9" w:rsidP="00156F2F">
            <w:pPr>
              <w:spacing w:after="0" w:line="240" w:lineRule="auto"/>
              <w:jc w:val="right"/>
              <w:rPr>
                <w:rFonts w:cs="Arial"/>
                <w:b/>
                <w:color w:val="244061"/>
                <w:sz w:val="18"/>
                <w:szCs w:val="18"/>
              </w:rPr>
            </w:pPr>
            <w:r w:rsidRPr="00DE57C3">
              <w:rPr>
                <w:rFonts w:cs="Arial"/>
                <w:b/>
                <w:color w:val="244061"/>
                <w:sz w:val="18"/>
                <w:szCs w:val="18"/>
              </w:rPr>
              <w:t xml:space="preserve">722.770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DE57C3" w:rsidRDefault="00F33EE9" w:rsidP="00156F2F">
            <w:pPr>
              <w:spacing w:after="0" w:line="240" w:lineRule="auto"/>
              <w:jc w:val="right"/>
              <w:rPr>
                <w:rFonts w:cs="Arial"/>
                <w:b/>
                <w:color w:val="244061"/>
                <w:sz w:val="18"/>
                <w:szCs w:val="18"/>
              </w:rPr>
            </w:pPr>
            <w:r w:rsidRPr="00DE57C3">
              <w:rPr>
                <w:rFonts w:cs="Arial"/>
                <w:b/>
                <w:color w:val="244061"/>
                <w:sz w:val="18"/>
                <w:szCs w:val="18"/>
              </w:rPr>
              <w:t xml:space="preserve">1.191.319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DE57C3" w:rsidRDefault="00F33EE9" w:rsidP="00156F2F">
            <w:pPr>
              <w:spacing w:after="0" w:line="240" w:lineRule="auto"/>
              <w:jc w:val="right"/>
              <w:rPr>
                <w:rFonts w:cs="Arial"/>
                <w:b/>
                <w:color w:val="244061"/>
                <w:sz w:val="18"/>
                <w:szCs w:val="18"/>
              </w:rPr>
            </w:pPr>
            <w:r w:rsidRPr="00DE57C3">
              <w:rPr>
                <w:rFonts w:cs="Arial"/>
                <w:b/>
                <w:color w:val="244061"/>
                <w:sz w:val="18"/>
                <w:szCs w:val="18"/>
              </w:rPr>
              <w:t xml:space="preserve">164,8 </w:t>
            </w:r>
          </w:p>
        </w:tc>
      </w:tr>
      <w:tr w:rsidR="00F33EE9"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A77A2F" w:rsidRDefault="00F33EE9" w:rsidP="00156F2F">
            <w:pPr>
              <w:spacing w:after="0" w:line="240" w:lineRule="auto"/>
              <w:rPr>
                <w:rFonts w:cs="Arial"/>
                <w:color w:val="244061"/>
                <w:sz w:val="18"/>
                <w:szCs w:val="18"/>
              </w:rPr>
            </w:pPr>
            <w:r w:rsidRPr="00A77A2F">
              <w:rPr>
                <w:rFonts w:cs="Arial"/>
                <w:color w:val="244061"/>
                <w:sz w:val="18"/>
                <w:szCs w:val="18"/>
              </w:rPr>
              <w:t>Izvoz</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5.538.498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5.351.870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96,6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7.392.528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7.389.690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100,0 </w:t>
            </w:r>
          </w:p>
        </w:tc>
      </w:tr>
      <w:tr w:rsidR="00F33EE9"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A77A2F" w:rsidRDefault="00F33EE9" w:rsidP="00156F2F">
            <w:pPr>
              <w:spacing w:after="0" w:line="240" w:lineRule="auto"/>
              <w:rPr>
                <w:rFonts w:cs="Arial"/>
                <w:color w:val="244061"/>
                <w:sz w:val="18"/>
                <w:szCs w:val="18"/>
              </w:rPr>
            </w:pPr>
            <w:r w:rsidRPr="00A77A2F">
              <w:rPr>
                <w:rFonts w:cs="Arial"/>
                <w:color w:val="244061"/>
                <w:sz w:val="18"/>
                <w:szCs w:val="18"/>
              </w:rPr>
              <w:t>Uvoz</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1.572.084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1.875.150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119,3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2.784.654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3.045.668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109,4 </w:t>
            </w:r>
          </w:p>
        </w:tc>
      </w:tr>
      <w:tr w:rsidR="00F33EE9" w:rsidRPr="00E26D38" w:rsidTr="00626754">
        <w:trPr>
          <w:trHeight w:val="285"/>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A77A2F" w:rsidRDefault="00F33EE9" w:rsidP="00156F2F">
            <w:pPr>
              <w:spacing w:after="0" w:line="240" w:lineRule="auto"/>
              <w:rPr>
                <w:rFonts w:cs="Arial"/>
                <w:color w:val="244061"/>
                <w:sz w:val="18"/>
                <w:szCs w:val="18"/>
              </w:rPr>
            </w:pPr>
            <w:r w:rsidRPr="00A77A2F">
              <w:rPr>
                <w:rFonts w:cs="Arial"/>
                <w:color w:val="244061"/>
                <w:sz w:val="18"/>
                <w:szCs w:val="18"/>
              </w:rPr>
              <w:t>Investicije u novu dugotrajnu imovinu</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624.796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519.632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83,2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1.358.466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1.125.727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82,9 </w:t>
            </w:r>
          </w:p>
        </w:tc>
      </w:tr>
      <w:tr w:rsidR="00F33EE9" w:rsidRPr="00E26D38" w:rsidTr="00D6295D">
        <w:trPr>
          <w:trHeight w:val="283"/>
          <w:jc w:val="center"/>
        </w:trPr>
        <w:tc>
          <w:tcPr>
            <w:tcW w:w="3508" w:type="dxa"/>
            <w:tcBorders>
              <w:top w:val="single" w:sz="4" w:space="0" w:color="BFBFBF"/>
              <w:left w:val="single" w:sz="4" w:space="0" w:color="BFBFBF"/>
              <w:bottom w:val="single" w:sz="4" w:space="0" w:color="BFBFBF"/>
              <w:right w:val="single" w:sz="4" w:space="0" w:color="FFFFFF" w:themeColor="background1"/>
            </w:tcBorders>
            <w:shd w:val="clear" w:color="auto" w:fill="auto"/>
            <w:noWrap/>
            <w:vAlign w:val="center"/>
            <w:hideMark/>
          </w:tcPr>
          <w:p w:rsidR="00F33EE9" w:rsidRPr="00A77A2F" w:rsidRDefault="00F33EE9" w:rsidP="00D6295D">
            <w:pPr>
              <w:spacing w:after="0" w:line="240" w:lineRule="auto"/>
              <w:rPr>
                <w:rFonts w:cs="Arial"/>
                <w:color w:val="244061"/>
                <w:sz w:val="18"/>
                <w:szCs w:val="18"/>
              </w:rPr>
            </w:pPr>
            <w:r w:rsidRPr="00A77A2F">
              <w:rPr>
                <w:rFonts w:cs="Arial"/>
                <w:color w:val="244061"/>
                <w:sz w:val="18"/>
                <w:szCs w:val="18"/>
              </w:rPr>
              <w:t xml:space="preserve">Prosječna </w:t>
            </w:r>
            <w:proofErr w:type="spellStart"/>
            <w:r w:rsidRPr="00A77A2F">
              <w:rPr>
                <w:rFonts w:cs="Arial"/>
                <w:color w:val="244061"/>
                <w:sz w:val="18"/>
                <w:szCs w:val="18"/>
              </w:rPr>
              <w:t>mjeseč</w:t>
            </w:r>
            <w:proofErr w:type="spellEnd"/>
            <w:r w:rsidR="00D6295D">
              <w:rPr>
                <w:rFonts w:cs="Arial"/>
                <w:color w:val="244061"/>
                <w:sz w:val="18"/>
                <w:szCs w:val="18"/>
              </w:rPr>
              <w:t>.</w:t>
            </w:r>
            <w:r w:rsidRPr="00A77A2F">
              <w:rPr>
                <w:rFonts w:cs="Arial"/>
                <w:color w:val="244061"/>
                <w:sz w:val="18"/>
                <w:szCs w:val="18"/>
              </w:rPr>
              <w:t xml:space="preserve"> neto plaća po zaposl</w:t>
            </w:r>
            <w:r w:rsidR="00D6295D">
              <w:rPr>
                <w:rFonts w:cs="Arial"/>
                <w:color w:val="244061"/>
                <w:sz w:val="18"/>
                <w:szCs w:val="18"/>
              </w:rPr>
              <w:t>.</w:t>
            </w:r>
          </w:p>
        </w:tc>
        <w:tc>
          <w:tcPr>
            <w:tcW w:w="1174"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5.058 </w:t>
            </w:r>
          </w:p>
        </w:tc>
        <w:tc>
          <w:tcPr>
            <w:tcW w:w="1174"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5.158 </w:t>
            </w:r>
          </w:p>
        </w:tc>
        <w:tc>
          <w:tcPr>
            <w:tcW w:w="740"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000000" w:fill="DCE6F1"/>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102,0 </w:t>
            </w:r>
          </w:p>
        </w:tc>
        <w:tc>
          <w:tcPr>
            <w:tcW w:w="1123" w:type="dxa"/>
            <w:tcBorders>
              <w:top w:val="single" w:sz="4" w:space="0" w:color="BFBFBF"/>
              <w:left w:val="single" w:sz="4" w:space="0" w:color="FFFFFF" w:themeColor="background1"/>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4.935 </w:t>
            </w:r>
          </w:p>
        </w:tc>
        <w:tc>
          <w:tcPr>
            <w:tcW w:w="112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5.032 </w:t>
            </w:r>
          </w:p>
        </w:tc>
        <w:tc>
          <w:tcPr>
            <w:tcW w:w="74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F33EE9" w:rsidP="00156F2F">
            <w:pPr>
              <w:spacing w:after="0" w:line="240" w:lineRule="auto"/>
              <w:jc w:val="right"/>
              <w:rPr>
                <w:rFonts w:cs="Arial"/>
                <w:color w:val="244061"/>
                <w:sz w:val="18"/>
                <w:szCs w:val="18"/>
              </w:rPr>
            </w:pPr>
            <w:r w:rsidRPr="00F33EE9">
              <w:rPr>
                <w:rFonts w:cs="Arial"/>
                <w:color w:val="244061"/>
                <w:sz w:val="18"/>
                <w:szCs w:val="18"/>
              </w:rPr>
              <w:t xml:space="preserve">102,0 </w:t>
            </w:r>
          </w:p>
        </w:tc>
      </w:tr>
    </w:tbl>
    <w:p w:rsidR="00E65163"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w:t>
      </w:r>
      <w:r w:rsidR="00760CE8">
        <w:rPr>
          <w:bCs/>
          <w:i/>
          <w:color w:val="17365D"/>
          <w:sz w:val="16"/>
          <w:szCs w:val="18"/>
        </w:rPr>
        <w:t>6</w:t>
      </w:r>
      <w:r w:rsidRPr="00A77A2F">
        <w:rPr>
          <w:bCs/>
          <w:i/>
          <w:color w:val="17365D"/>
          <w:sz w:val="16"/>
          <w:szCs w:val="18"/>
        </w:rPr>
        <w:t>. godinu</w:t>
      </w:r>
    </w:p>
    <w:p w:rsidR="00626754" w:rsidRPr="00A77A2F" w:rsidRDefault="00E65163" w:rsidP="00152A99">
      <w:pPr>
        <w:widowControl w:val="0"/>
        <w:tabs>
          <w:tab w:val="left" w:pos="567"/>
        </w:tabs>
        <w:spacing w:before="180" w:after="0"/>
        <w:rPr>
          <w:rFonts w:eastAsia="Calibri" w:cs="Arial"/>
          <w:color w:val="244061"/>
          <w:sz w:val="20"/>
          <w:lang w:eastAsia="en-US"/>
        </w:rPr>
      </w:pPr>
      <w:r w:rsidRPr="00590728">
        <w:rPr>
          <w:rFonts w:eastAsia="Calibri" w:cs="Arial"/>
          <w:color w:val="244061"/>
          <w:sz w:val="20"/>
          <w:lang w:eastAsia="en-US"/>
        </w:rPr>
        <w:t>U 201</w:t>
      </w:r>
      <w:r w:rsidR="00760CE8">
        <w:rPr>
          <w:rFonts w:eastAsia="Calibri" w:cs="Arial"/>
          <w:color w:val="244061"/>
          <w:sz w:val="20"/>
          <w:lang w:eastAsia="en-US"/>
        </w:rPr>
        <w:t>6</w:t>
      </w:r>
      <w:r w:rsidRPr="00590728">
        <w:rPr>
          <w:rFonts w:eastAsia="Calibri" w:cs="Arial"/>
          <w:color w:val="244061"/>
          <w:sz w:val="20"/>
          <w:lang w:eastAsia="en-US"/>
        </w:rPr>
        <w:t>. godini poduzetnici Urbane aglomeracije Rijeke iskazali su pozitivan konsolidirani financijski rezultat</w:t>
      </w:r>
      <w:r>
        <w:rPr>
          <w:rFonts w:eastAsia="Calibri" w:cs="Arial"/>
          <w:color w:val="244061"/>
          <w:sz w:val="20"/>
          <w:lang w:eastAsia="en-US"/>
        </w:rPr>
        <w:t xml:space="preserve"> u iznosu od </w:t>
      </w:r>
      <w:r w:rsidR="000A0D72">
        <w:rPr>
          <w:rFonts w:eastAsia="Calibri" w:cs="Arial"/>
          <w:color w:val="244061"/>
          <w:sz w:val="20"/>
          <w:lang w:eastAsia="en-US"/>
        </w:rPr>
        <w:t>985</w:t>
      </w:r>
      <w:r>
        <w:rPr>
          <w:rFonts w:eastAsia="Calibri" w:cs="Arial"/>
          <w:color w:val="244061"/>
          <w:sz w:val="20"/>
          <w:lang w:eastAsia="en-US"/>
        </w:rPr>
        <w:t>,</w:t>
      </w:r>
      <w:r w:rsidR="000A0D72">
        <w:rPr>
          <w:rFonts w:eastAsia="Calibri" w:cs="Arial"/>
          <w:color w:val="244061"/>
          <w:sz w:val="20"/>
          <w:lang w:eastAsia="en-US"/>
        </w:rPr>
        <w:t>7</w:t>
      </w:r>
      <w:r>
        <w:rPr>
          <w:rFonts w:eastAsia="Calibri" w:cs="Arial"/>
          <w:color w:val="244061"/>
          <w:sz w:val="20"/>
          <w:lang w:eastAsia="en-US"/>
        </w:rPr>
        <w:t xml:space="preserve"> milijuna kuna</w:t>
      </w:r>
      <w:r w:rsidR="003E79B4">
        <w:rPr>
          <w:rFonts w:eastAsia="Calibri" w:cs="Arial"/>
          <w:color w:val="244061"/>
          <w:sz w:val="20"/>
          <w:lang w:eastAsia="en-US"/>
        </w:rPr>
        <w:t xml:space="preserve"> što je za 36,8</w:t>
      </w:r>
      <w:r w:rsidR="00156F2F">
        <w:rPr>
          <w:rFonts w:eastAsia="Calibri" w:cs="Arial"/>
          <w:color w:val="244061"/>
          <w:sz w:val="20"/>
          <w:lang w:eastAsia="en-US"/>
        </w:rPr>
        <w:t xml:space="preserve"> %</w:t>
      </w:r>
      <w:r w:rsidR="003E79B4">
        <w:rPr>
          <w:rFonts w:eastAsia="Calibri" w:cs="Arial"/>
          <w:color w:val="244061"/>
          <w:sz w:val="20"/>
          <w:lang w:eastAsia="en-US"/>
        </w:rPr>
        <w:t xml:space="preserve"> više nego prethodne godine</w:t>
      </w:r>
      <w:r w:rsidR="00080961">
        <w:rPr>
          <w:rFonts w:eastAsia="Calibri" w:cs="Arial"/>
          <w:color w:val="244061"/>
          <w:sz w:val="20"/>
          <w:lang w:eastAsia="en-US"/>
        </w:rPr>
        <w:t xml:space="preserve"> (720,3 milijuna kuna)</w:t>
      </w:r>
      <w:r>
        <w:rPr>
          <w:rFonts w:eastAsia="Calibri" w:cs="Arial"/>
          <w:color w:val="244061"/>
          <w:sz w:val="20"/>
          <w:lang w:eastAsia="en-US"/>
        </w:rPr>
        <w:t>.</w:t>
      </w:r>
      <w:r w:rsidRPr="00590728">
        <w:rPr>
          <w:rFonts w:eastAsia="Calibri" w:cs="Arial"/>
          <w:color w:val="244061"/>
          <w:sz w:val="20"/>
          <w:lang w:eastAsia="en-US"/>
        </w:rPr>
        <w:t xml:space="preserve"> </w:t>
      </w:r>
    </w:p>
    <w:p w:rsidR="00E65163" w:rsidRPr="00A77A2F" w:rsidRDefault="00E65163" w:rsidP="00D6295D">
      <w:pPr>
        <w:widowControl w:val="0"/>
        <w:tabs>
          <w:tab w:val="left" w:pos="7797"/>
        </w:tabs>
        <w:spacing w:before="180" w:after="40" w:line="240" w:lineRule="auto"/>
        <w:ind w:left="1134" w:hanging="1134"/>
        <w:rPr>
          <w:rFonts w:eastAsia="Calibri" w:cs="Arial"/>
          <w:color w:val="244061"/>
          <w:sz w:val="16"/>
          <w:szCs w:val="18"/>
          <w:lang w:eastAsia="en-US"/>
        </w:rPr>
      </w:pPr>
      <w:r w:rsidRPr="00E26D38">
        <w:rPr>
          <w:rFonts w:eastAsia="Calibri" w:cs="Arial"/>
          <w:b/>
          <w:color w:val="17365D"/>
          <w:sz w:val="18"/>
          <w:szCs w:val="18"/>
          <w:lang w:eastAsia="en-US"/>
        </w:rPr>
        <w:t xml:space="preserve">Tablica </w:t>
      </w:r>
      <w:r w:rsidR="00B0422F" w:rsidRPr="00E26D38">
        <w:rPr>
          <w:rFonts w:eastAsia="Calibri" w:cs="Arial"/>
          <w:b/>
          <w:color w:val="17365D"/>
          <w:sz w:val="18"/>
          <w:szCs w:val="18"/>
          <w:lang w:eastAsia="en-US"/>
        </w:rPr>
        <w:t>3</w:t>
      </w:r>
      <w:r w:rsidRPr="00E26D38">
        <w:rPr>
          <w:rFonts w:eastAsia="Calibri" w:cs="Arial"/>
          <w:b/>
          <w:color w:val="17365D"/>
          <w:sz w:val="18"/>
          <w:szCs w:val="18"/>
          <w:lang w:eastAsia="en-US"/>
        </w:rPr>
        <w:t>.</w:t>
      </w:r>
      <w:r w:rsidRPr="00E26D38">
        <w:rPr>
          <w:rFonts w:eastAsia="Calibri" w:cs="Arial"/>
          <w:b/>
          <w:color w:val="17365D"/>
          <w:sz w:val="18"/>
          <w:szCs w:val="18"/>
          <w:lang w:eastAsia="en-US"/>
        </w:rPr>
        <w:tab/>
      </w:r>
      <w:r w:rsidRPr="00E26D38">
        <w:rPr>
          <w:rFonts w:eastAsia="Calibri" w:cs="Arial"/>
          <w:b/>
          <w:color w:val="17365D"/>
          <w:sz w:val="18"/>
          <w:szCs w:val="18"/>
          <w:u w:val="single"/>
          <w:lang w:eastAsia="en-US"/>
        </w:rPr>
        <w:t>T</w:t>
      </w:r>
      <w:r w:rsidR="00A273AB" w:rsidRPr="00E26D38">
        <w:rPr>
          <w:rFonts w:eastAsia="Calibri" w:cs="Arial"/>
          <w:b/>
          <w:color w:val="17365D"/>
          <w:sz w:val="18"/>
          <w:szCs w:val="18"/>
          <w:u w:val="single"/>
          <w:lang w:eastAsia="en-US"/>
        </w:rPr>
        <w:t>OP</w:t>
      </w:r>
      <w:r w:rsidRPr="00E26D38">
        <w:rPr>
          <w:rFonts w:eastAsia="Calibri" w:cs="Arial"/>
          <w:b/>
          <w:color w:val="17365D"/>
          <w:sz w:val="18"/>
          <w:szCs w:val="18"/>
          <w:u w:val="single"/>
          <w:lang w:eastAsia="en-US"/>
        </w:rPr>
        <w:t xml:space="preserve"> 10</w:t>
      </w:r>
      <w:r w:rsidRPr="00E26D38">
        <w:rPr>
          <w:rFonts w:eastAsia="Calibri" w:cs="Arial"/>
          <w:b/>
          <w:color w:val="17365D"/>
          <w:sz w:val="18"/>
          <w:szCs w:val="18"/>
          <w:lang w:eastAsia="en-US"/>
        </w:rPr>
        <w:t xml:space="preserve"> - </w:t>
      </w:r>
      <w:r w:rsidRPr="00E26D38">
        <w:rPr>
          <w:rFonts w:eastAsia="Calibri" w:cs="Arial"/>
          <w:b/>
          <w:color w:val="244061"/>
          <w:sz w:val="18"/>
          <w:szCs w:val="18"/>
          <w:lang w:eastAsia="en-US"/>
        </w:rPr>
        <w:t>Rang lista poduzetnika prema neto dobiti na razini Urbane aglomeracije Rijeka u 201</w:t>
      </w:r>
      <w:r w:rsidR="007F0DF9" w:rsidRPr="00E26D38">
        <w:rPr>
          <w:rFonts w:eastAsia="Calibri" w:cs="Arial"/>
          <w:b/>
          <w:color w:val="244061"/>
          <w:sz w:val="18"/>
          <w:szCs w:val="18"/>
          <w:lang w:eastAsia="en-US"/>
        </w:rPr>
        <w:t>6</w:t>
      </w:r>
      <w:r w:rsidRPr="00E26D38">
        <w:rPr>
          <w:rFonts w:eastAsia="Calibri" w:cs="Arial"/>
          <w:b/>
          <w:color w:val="244061"/>
          <w:sz w:val="18"/>
          <w:szCs w:val="18"/>
          <w:lang w:eastAsia="en-US"/>
        </w:rPr>
        <w:t>. g.</w:t>
      </w:r>
      <w:r w:rsidRPr="00A77A2F">
        <w:rPr>
          <w:rFonts w:eastAsia="Calibri" w:cs="Arial"/>
          <w:color w:val="244061"/>
          <w:sz w:val="18"/>
          <w:szCs w:val="18"/>
          <w:lang w:eastAsia="en-US"/>
        </w:rPr>
        <w:t xml:space="preserve"> </w:t>
      </w:r>
      <w:r w:rsidRPr="00A77A2F">
        <w:rPr>
          <w:rFonts w:eastAsia="Calibri" w:cs="Arial"/>
          <w:color w:val="17365D"/>
          <w:sz w:val="18"/>
          <w:szCs w:val="18"/>
          <w:lang w:eastAsia="en-US"/>
        </w:rPr>
        <w:tab/>
      </w:r>
      <w:r w:rsidRPr="00A77A2F">
        <w:rPr>
          <w:rFonts w:eastAsia="Calibri" w:cs="Arial"/>
          <w:color w:val="244061"/>
          <w:sz w:val="16"/>
          <w:szCs w:val="18"/>
          <w:lang w:eastAsia="en-US"/>
        </w:rPr>
        <w:t>(iznosi u tisućama kuna)</w:t>
      </w:r>
    </w:p>
    <w:tbl>
      <w:tblPr>
        <w:tblW w:w="9582" w:type="dxa"/>
        <w:jc w:val="center"/>
        <w:tblLook w:val="04A0" w:firstRow="1" w:lastRow="0" w:firstColumn="1" w:lastColumn="0" w:noHBand="0" w:noVBand="1"/>
      </w:tblPr>
      <w:tblGrid>
        <w:gridCol w:w="599"/>
        <w:gridCol w:w="1324"/>
        <w:gridCol w:w="3299"/>
        <w:gridCol w:w="970"/>
        <w:gridCol w:w="1138"/>
        <w:gridCol w:w="1423"/>
        <w:gridCol w:w="1017"/>
      </w:tblGrid>
      <w:tr w:rsidR="00B0422F" w:rsidRPr="00313E09" w:rsidTr="000A724E">
        <w:trPr>
          <w:trHeight w:val="425"/>
          <w:tblHeader/>
          <w:jc w:val="center"/>
        </w:trPr>
        <w:tc>
          <w:tcPr>
            <w:tcW w:w="481" w:type="dxa"/>
            <w:tcBorders>
              <w:top w:val="single" w:sz="4" w:space="0" w:color="auto"/>
              <w:left w:val="single" w:sz="4" w:space="0" w:color="auto"/>
              <w:bottom w:val="single" w:sz="4" w:space="0" w:color="A6A6A6" w:themeColor="background1" w:themeShade="A6"/>
              <w:right w:val="single" w:sz="4" w:space="0" w:color="FFFFFF"/>
            </w:tcBorders>
            <w:shd w:val="clear" w:color="000000" w:fill="003366"/>
            <w:vAlign w:val="center"/>
            <w:hideMark/>
          </w:tcPr>
          <w:p w:rsidR="00E65163" w:rsidRPr="00B27E68" w:rsidRDefault="00B27E68" w:rsidP="00156F2F">
            <w:pPr>
              <w:spacing w:after="0" w:line="240" w:lineRule="auto"/>
              <w:jc w:val="center"/>
              <w:rPr>
                <w:rFonts w:cs="Arial"/>
                <w:bCs/>
                <w:color w:val="FFFFFF" w:themeColor="background1"/>
                <w:sz w:val="16"/>
                <w:szCs w:val="16"/>
              </w:rPr>
            </w:pPr>
            <w:r w:rsidRPr="00B27E68">
              <w:rPr>
                <w:rFonts w:eastAsia="Calibri" w:cs="Arial"/>
                <w:color w:val="FFFFFF" w:themeColor="background1"/>
                <w:sz w:val="16"/>
                <w:szCs w:val="16"/>
                <w:lang w:eastAsia="en-US"/>
              </w:rPr>
              <w:t>Rang</w:t>
            </w:r>
          </w:p>
        </w:tc>
        <w:tc>
          <w:tcPr>
            <w:tcW w:w="1324"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B27E68" w:rsidRDefault="00E65163" w:rsidP="00156F2F">
            <w:pPr>
              <w:spacing w:after="0" w:line="240" w:lineRule="auto"/>
              <w:jc w:val="center"/>
              <w:rPr>
                <w:rFonts w:cs="Arial"/>
                <w:b/>
                <w:bCs/>
                <w:color w:val="FFFFFF" w:themeColor="background1"/>
                <w:sz w:val="16"/>
                <w:szCs w:val="16"/>
              </w:rPr>
            </w:pPr>
            <w:r w:rsidRPr="00B27E68">
              <w:rPr>
                <w:rFonts w:cs="Arial"/>
                <w:b/>
                <w:bCs/>
                <w:color w:val="FFFFFF" w:themeColor="background1"/>
                <w:sz w:val="16"/>
                <w:szCs w:val="16"/>
              </w:rPr>
              <w:t>OIB</w:t>
            </w:r>
          </w:p>
        </w:tc>
        <w:tc>
          <w:tcPr>
            <w:tcW w:w="3299"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Naziv</w:t>
            </w:r>
          </w:p>
        </w:tc>
        <w:tc>
          <w:tcPr>
            <w:tcW w:w="970"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Mjesto</w:t>
            </w:r>
          </w:p>
        </w:tc>
        <w:tc>
          <w:tcPr>
            <w:tcW w:w="1138"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Broj zaposlenih</w:t>
            </w:r>
          </w:p>
        </w:tc>
        <w:tc>
          <w:tcPr>
            <w:tcW w:w="1423"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Ukupni prihod</w:t>
            </w:r>
          </w:p>
        </w:tc>
        <w:tc>
          <w:tcPr>
            <w:tcW w:w="947"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156F2F">
            <w:pPr>
              <w:spacing w:after="0" w:line="240" w:lineRule="auto"/>
              <w:jc w:val="center"/>
              <w:rPr>
                <w:rFonts w:cs="Arial"/>
                <w:b/>
                <w:bCs/>
                <w:color w:val="FFFFFF"/>
                <w:sz w:val="16"/>
                <w:szCs w:val="16"/>
              </w:rPr>
            </w:pPr>
            <w:r w:rsidRPr="00A77A2F">
              <w:rPr>
                <w:rFonts w:cs="Arial"/>
                <w:b/>
                <w:bCs/>
                <w:color w:val="FFFFFF"/>
                <w:sz w:val="16"/>
                <w:szCs w:val="16"/>
              </w:rPr>
              <w:t>Dobit razdoblja</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bookmarkStart w:id="0" w:name="_GoBack" w:colFirst="2" w:colLast="2"/>
            <w:r w:rsidRPr="000E5CF5">
              <w:rPr>
                <w:rFonts w:cs="Arial"/>
                <w:color w:val="244061" w:themeColor="accent1" w:themeShade="80"/>
                <w:sz w:val="18"/>
                <w:szCs w:val="18"/>
              </w:rPr>
              <w:t>1.</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46665607676</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B27E68" w:rsidP="00156F2F">
            <w:pPr>
              <w:spacing w:after="0" w:line="240" w:lineRule="auto"/>
              <w:rPr>
                <w:rFonts w:cs="Arial"/>
                <w:color w:val="16365C"/>
                <w:sz w:val="18"/>
                <w:szCs w:val="18"/>
              </w:rPr>
            </w:pPr>
            <w:hyperlink r:id="rId10" w:history="1">
              <w:r w:rsidR="000A724E" w:rsidRPr="00B27E68">
                <w:rPr>
                  <w:rStyle w:val="Hyperlink"/>
                  <w:rFonts w:cs="Arial"/>
                  <w:sz w:val="18"/>
                  <w:szCs w:val="18"/>
                </w:rPr>
                <w:t>Volosko Projekt d.o.o.</w:t>
              </w:r>
            </w:hyperlink>
            <w:r w:rsidR="00167A79">
              <w:rPr>
                <w:rStyle w:val="FootnoteReference"/>
                <w:sz w:val="18"/>
                <w:szCs w:val="18"/>
              </w:rPr>
              <w:footnoteReference w:id="3"/>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B66123">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0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107.064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107.026 </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2.</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20950636972</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152A99" w:rsidP="00156F2F">
            <w:pPr>
              <w:spacing w:after="0" w:line="240" w:lineRule="auto"/>
              <w:rPr>
                <w:rFonts w:cs="Arial"/>
                <w:color w:val="16365C"/>
                <w:sz w:val="18"/>
                <w:szCs w:val="18"/>
              </w:rPr>
            </w:pPr>
            <w:hyperlink r:id="rId11" w:history="1">
              <w:r w:rsidR="00E26D38" w:rsidRPr="00152A99">
                <w:rPr>
                  <w:rStyle w:val="Hyperlink"/>
                  <w:rFonts w:cs="Arial"/>
                  <w:sz w:val="18"/>
                  <w:szCs w:val="18"/>
                </w:rPr>
                <w:t xml:space="preserve">JGL </w:t>
              </w:r>
              <w:r w:rsidR="000A724E" w:rsidRPr="00152A99">
                <w:rPr>
                  <w:rStyle w:val="Hyperlink"/>
                  <w:rFonts w:cs="Arial"/>
                  <w:sz w:val="18"/>
                  <w:szCs w:val="18"/>
                </w:rPr>
                <w:t>d.d.</w:t>
              </w:r>
            </w:hyperlink>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B66123">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615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661.121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91.302 </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3.</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92510683607</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152A99" w:rsidP="00156F2F">
            <w:pPr>
              <w:spacing w:after="0" w:line="240" w:lineRule="auto"/>
              <w:rPr>
                <w:rFonts w:cs="Arial"/>
                <w:color w:val="16365C"/>
                <w:sz w:val="18"/>
                <w:szCs w:val="18"/>
              </w:rPr>
            </w:pPr>
            <w:hyperlink r:id="rId12" w:history="1">
              <w:r w:rsidR="000A724E" w:rsidRPr="00152A99">
                <w:rPr>
                  <w:rStyle w:val="Hyperlink"/>
                  <w:rFonts w:cs="Arial"/>
                  <w:sz w:val="18"/>
                  <w:szCs w:val="18"/>
                </w:rPr>
                <w:t>Plodine d.d.</w:t>
              </w:r>
            </w:hyperlink>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B66123">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3.314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3.868.698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76.192 </w:t>
            </w:r>
          </w:p>
        </w:tc>
      </w:tr>
      <w:bookmarkEnd w:id="0"/>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4.</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12276445344</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E26D38">
              <w:rPr>
                <w:rFonts w:cs="Arial"/>
                <w:sz w:val="18"/>
                <w:szCs w:val="18"/>
              </w:rPr>
              <w:t>Elcon Geraetebau d.o.o.</w:t>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B66123">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143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90.219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28.763 </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5.</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86167814130</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E26D38">
              <w:rPr>
                <w:rFonts w:cs="Arial"/>
                <w:sz w:val="18"/>
                <w:szCs w:val="18"/>
              </w:rPr>
              <w:t>3.Maj brodogradilište d</w:t>
            </w:r>
            <w:r w:rsidR="00D034D0" w:rsidRPr="00E26D38">
              <w:rPr>
                <w:rFonts w:cs="Arial"/>
                <w:sz w:val="18"/>
                <w:szCs w:val="18"/>
              </w:rPr>
              <w:t>.</w:t>
            </w:r>
            <w:r w:rsidRPr="00E26D38">
              <w:rPr>
                <w:rFonts w:cs="Arial"/>
                <w:sz w:val="18"/>
                <w:szCs w:val="18"/>
              </w:rPr>
              <w:t>d</w:t>
            </w:r>
            <w:r w:rsidR="00D034D0">
              <w:rPr>
                <w:rFonts w:cs="Arial"/>
                <w:color w:val="16365C"/>
                <w:sz w:val="18"/>
                <w:szCs w:val="18"/>
              </w:rPr>
              <w:t>.</w:t>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B66123">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1.323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1.052.120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27.038 </w:t>
            </w:r>
          </w:p>
        </w:tc>
      </w:tr>
      <w:tr w:rsidR="009164E1"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9164E1" w:rsidRPr="000E5CF5" w:rsidRDefault="009164E1"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6.</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164E1" w:rsidRPr="009164E1" w:rsidRDefault="009164E1" w:rsidP="00156F2F">
            <w:pPr>
              <w:spacing w:after="0" w:line="240" w:lineRule="auto"/>
              <w:rPr>
                <w:rFonts w:cs="Arial"/>
                <w:color w:val="16365C"/>
                <w:sz w:val="18"/>
                <w:szCs w:val="18"/>
              </w:rPr>
            </w:pPr>
            <w:r w:rsidRPr="009164E1">
              <w:rPr>
                <w:rFonts w:cs="Arial"/>
                <w:color w:val="16365C"/>
                <w:sz w:val="18"/>
                <w:szCs w:val="18"/>
              </w:rPr>
              <w:t>81493278367</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164E1" w:rsidRPr="009164E1" w:rsidRDefault="009164E1" w:rsidP="00156F2F">
            <w:pPr>
              <w:spacing w:after="0" w:line="240" w:lineRule="auto"/>
              <w:rPr>
                <w:rFonts w:cs="Arial"/>
                <w:color w:val="16365C"/>
                <w:sz w:val="18"/>
                <w:szCs w:val="18"/>
              </w:rPr>
            </w:pPr>
            <w:r w:rsidRPr="00E26D38">
              <w:rPr>
                <w:rFonts w:cs="Arial"/>
                <w:sz w:val="18"/>
                <w:szCs w:val="18"/>
              </w:rPr>
              <w:t>Rivijera plaže d.o.o.</w:t>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164E1" w:rsidRPr="009164E1" w:rsidRDefault="000A724E" w:rsidP="00156F2F">
            <w:pPr>
              <w:spacing w:after="0" w:line="240" w:lineRule="auto"/>
              <w:jc w:val="center"/>
              <w:rPr>
                <w:rFonts w:cs="Arial"/>
                <w:color w:val="16365C"/>
                <w:sz w:val="18"/>
                <w:szCs w:val="18"/>
              </w:rPr>
            </w:pPr>
            <w:r>
              <w:rPr>
                <w:rFonts w:cs="Arial"/>
                <w:color w:val="16365C"/>
                <w:sz w:val="18"/>
                <w:szCs w:val="18"/>
              </w:rPr>
              <w:t>Opatija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164E1" w:rsidRPr="009164E1" w:rsidRDefault="009164E1" w:rsidP="00156F2F">
            <w:pPr>
              <w:spacing w:after="0" w:line="240" w:lineRule="auto"/>
              <w:jc w:val="right"/>
              <w:rPr>
                <w:rFonts w:cs="Arial"/>
                <w:color w:val="16365C"/>
                <w:sz w:val="18"/>
                <w:szCs w:val="18"/>
              </w:rPr>
            </w:pPr>
            <w:r w:rsidRPr="009164E1">
              <w:rPr>
                <w:rFonts w:cs="Arial"/>
                <w:color w:val="16365C"/>
                <w:sz w:val="18"/>
                <w:szCs w:val="18"/>
              </w:rPr>
              <w:t xml:space="preserve">1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164E1" w:rsidRPr="009164E1" w:rsidRDefault="009164E1" w:rsidP="00156F2F">
            <w:pPr>
              <w:spacing w:after="0" w:line="240" w:lineRule="auto"/>
              <w:jc w:val="right"/>
              <w:rPr>
                <w:rFonts w:cs="Arial"/>
                <w:color w:val="16365C"/>
                <w:sz w:val="18"/>
                <w:szCs w:val="18"/>
              </w:rPr>
            </w:pPr>
            <w:r w:rsidRPr="009164E1">
              <w:rPr>
                <w:rFonts w:cs="Arial"/>
                <w:color w:val="16365C"/>
                <w:sz w:val="18"/>
                <w:szCs w:val="18"/>
              </w:rPr>
              <w:t xml:space="preserve">27.590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164E1" w:rsidRPr="009164E1" w:rsidRDefault="009164E1" w:rsidP="00156F2F">
            <w:pPr>
              <w:spacing w:after="0" w:line="240" w:lineRule="auto"/>
              <w:jc w:val="right"/>
              <w:rPr>
                <w:rFonts w:cs="Arial"/>
                <w:color w:val="16365C"/>
                <w:sz w:val="18"/>
                <w:szCs w:val="18"/>
              </w:rPr>
            </w:pPr>
            <w:r w:rsidRPr="009164E1">
              <w:rPr>
                <w:rFonts w:cs="Arial"/>
                <w:color w:val="16365C"/>
                <w:sz w:val="18"/>
                <w:szCs w:val="18"/>
              </w:rPr>
              <w:t xml:space="preserve">26.660 </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7.</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38453148181</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E26D38">
              <w:rPr>
                <w:rFonts w:cs="Arial"/>
                <w:sz w:val="18"/>
                <w:szCs w:val="18"/>
              </w:rPr>
              <w:t>Jadrolinija</w:t>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7F6D4B">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2.027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845.096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23.812 </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8.</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57260863791</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E26D38">
              <w:rPr>
                <w:rFonts w:cs="Arial"/>
                <w:sz w:val="18"/>
                <w:szCs w:val="18"/>
              </w:rPr>
              <w:t>Stomatološka poliklinika Rident</w:t>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7F6D4B">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178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126.115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21.514 </w:t>
            </w:r>
          </w:p>
        </w:tc>
      </w:tr>
      <w:tr w:rsidR="000A724E"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0A724E" w:rsidRPr="000E5CF5" w:rsidRDefault="000A724E"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9.</w:t>
            </w:r>
          </w:p>
        </w:tc>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rPr>
                <w:rFonts w:cs="Arial"/>
                <w:color w:val="16365C"/>
                <w:sz w:val="18"/>
                <w:szCs w:val="18"/>
              </w:rPr>
            </w:pPr>
            <w:r w:rsidRPr="009164E1">
              <w:rPr>
                <w:rFonts w:cs="Arial"/>
                <w:color w:val="16365C"/>
                <w:sz w:val="18"/>
                <w:szCs w:val="18"/>
              </w:rPr>
              <w:t>04374254096</w:t>
            </w:r>
          </w:p>
        </w:tc>
        <w:tc>
          <w:tcPr>
            <w:tcW w:w="3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E26D38" w:rsidRDefault="00E26D38" w:rsidP="00E26D38">
            <w:pPr>
              <w:spacing w:after="0" w:line="240" w:lineRule="auto"/>
              <w:rPr>
                <w:rFonts w:cs="Arial"/>
                <w:color w:val="16365C"/>
                <w:sz w:val="18"/>
                <w:szCs w:val="18"/>
              </w:rPr>
            </w:pPr>
            <w:r w:rsidRPr="00E26D38">
              <w:rPr>
                <w:sz w:val="18"/>
                <w:szCs w:val="18"/>
              </w:rPr>
              <w:t xml:space="preserve">GRANDI LAVORI FINCOSIT S. P. A. </w:t>
            </w:r>
          </w:p>
        </w:tc>
        <w:tc>
          <w:tcPr>
            <w:tcW w:w="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0A724E" w:rsidRDefault="000A724E" w:rsidP="00156F2F">
            <w:pPr>
              <w:spacing w:after="0" w:line="240" w:lineRule="auto"/>
              <w:jc w:val="center"/>
              <w:rPr>
                <w:rFonts w:cs="Arial"/>
                <w:color w:val="16365C"/>
                <w:sz w:val="18"/>
                <w:szCs w:val="18"/>
              </w:rPr>
            </w:pPr>
            <w:r w:rsidRPr="007F6D4B">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3 </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163.597 </w:t>
            </w: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0A724E" w:rsidRPr="009164E1" w:rsidRDefault="000A724E" w:rsidP="00156F2F">
            <w:pPr>
              <w:spacing w:after="0" w:line="240" w:lineRule="auto"/>
              <w:jc w:val="right"/>
              <w:rPr>
                <w:rFonts w:cs="Arial"/>
                <w:color w:val="16365C"/>
                <w:sz w:val="18"/>
                <w:szCs w:val="18"/>
              </w:rPr>
            </w:pPr>
            <w:r w:rsidRPr="009164E1">
              <w:rPr>
                <w:rFonts w:cs="Arial"/>
                <w:color w:val="16365C"/>
                <w:sz w:val="18"/>
                <w:szCs w:val="18"/>
              </w:rPr>
              <w:t xml:space="preserve">20.205 </w:t>
            </w:r>
          </w:p>
        </w:tc>
      </w:tr>
      <w:tr w:rsidR="00E65163" w:rsidRPr="00313E09" w:rsidTr="000A724E">
        <w:trPr>
          <w:trHeight w:val="284"/>
          <w:jc w:val="center"/>
        </w:trPr>
        <w:tc>
          <w:tcPr>
            <w:tcW w:w="481"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hideMark/>
          </w:tcPr>
          <w:p w:rsidR="00E65163" w:rsidRPr="000E5CF5" w:rsidRDefault="00E65163" w:rsidP="00156F2F">
            <w:pPr>
              <w:spacing w:after="0" w:line="240" w:lineRule="auto"/>
              <w:jc w:val="right"/>
              <w:rPr>
                <w:rFonts w:cs="Arial"/>
                <w:color w:val="244061" w:themeColor="accent1" w:themeShade="80"/>
                <w:sz w:val="18"/>
                <w:szCs w:val="18"/>
              </w:rPr>
            </w:pPr>
            <w:r w:rsidRPr="000E5CF5">
              <w:rPr>
                <w:rFonts w:cs="Arial"/>
                <w:color w:val="244061" w:themeColor="accent1" w:themeShade="80"/>
                <w:sz w:val="18"/>
                <w:szCs w:val="18"/>
              </w:rPr>
              <w:t>10.</w:t>
            </w:r>
          </w:p>
        </w:tc>
        <w:tc>
          <w:tcPr>
            <w:tcW w:w="1324"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65163" w:rsidRPr="0007136B" w:rsidRDefault="00E65163" w:rsidP="00156F2F">
            <w:pPr>
              <w:spacing w:after="0" w:line="240" w:lineRule="auto"/>
              <w:rPr>
                <w:rFonts w:cs="Arial"/>
                <w:color w:val="16365C"/>
                <w:sz w:val="18"/>
                <w:szCs w:val="18"/>
              </w:rPr>
            </w:pPr>
            <w:r w:rsidRPr="0007136B">
              <w:rPr>
                <w:rFonts w:cs="Arial"/>
                <w:color w:val="16365C"/>
                <w:sz w:val="18"/>
                <w:szCs w:val="18"/>
              </w:rPr>
              <w:t>27531244647</w:t>
            </w:r>
          </w:p>
        </w:tc>
        <w:tc>
          <w:tcPr>
            <w:tcW w:w="3299"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65163" w:rsidRPr="0007136B" w:rsidRDefault="00E65163" w:rsidP="00156F2F">
            <w:pPr>
              <w:spacing w:after="0" w:line="240" w:lineRule="auto"/>
              <w:rPr>
                <w:rFonts w:cs="Arial"/>
                <w:color w:val="16365C"/>
                <w:sz w:val="18"/>
                <w:szCs w:val="18"/>
              </w:rPr>
            </w:pPr>
            <w:r w:rsidRPr="00D6295D">
              <w:rPr>
                <w:rFonts w:cs="Arial"/>
                <w:sz w:val="18"/>
                <w:szCs w:val="18"/>
              </w:rPr>
              <w:t>Brodogradilište Viktor Lenac d.d.</w:t>
            </w:r>
          </w:p>
        </w:tc>
        <w:tc>
          <w:tcPr>
            <w:tcW w:w="970"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65163" w:rsidRPr="0007136B" w:rsidRDefault="00E65163" w:rsidP="00156F2F">
            <w:pPr>
              <w:spacing w:after="0" w:line="240" w:lineRule="auto"/>
              <w:jc w:val="center"/>
              <w:rPr>
                <w:rFonts w:cs="Arial"/>
                <w:color w:val="16365C"/>
                <w:sz w:val="18"/>
                <w:szCs w:val="18"/>
              </w:rPr>
            </w:pPr>
            <w:r w:rsidRPr="0007136B">
              <w:rPr>
                <w:rFonts w:cs="Arial"/>
                <w:color w:val="16365C"/>
                <w:sz w:val="18"/>
                <w:szCs w:val="18"/>
              </w:rPr>
              <w:t>Rijeka</w:t>
            </w:r>
          </w:p>
        </w:tc>
        <w:tc>
          <w:tcPr>
            <w:tcW w:w="1138"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65163" w:rsidRPr="0007136B" w:rsidRDefault="00E65163" w:rsidP="00156F2F">
            <w:pPr>
              <w:spacing w:after="0" w:line="240" w:lineRule="auto"/>
              <w:jc w:val="right"/>
              <w:rPr>
                <w:rFonts w:cs="Arial"/>
                <w:color w:val="16365C"/>
                <w:sz w:val="18"/>
                <w:szCs w:val="18"/>
              </w:rPr>
            </w:pPr>
            <w:r w:rsidRPr="0007136B">
              <w:rPr>
                <w:rFonts w:cs="Arial"/>
                <w:color w:val="16365C"/>
                <w:sz w:val="18"/>
                <w:szCs w:val="18"/>
              </w:rPr>
              <w:t>536</w:t>
            </w:r>
          </w:p>
        </w:tc>
        <w:tc>
          <w:tcPr>
            <w:tcW w:w="1423"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65163" w:rsidRPr="0007136B" w:rsidRDefault="00E65163" w:rsidP="00156F2F">
            <w:pPr>
              <w:spacing w:after="0" w:line="240" w:lineRule="auto"/>
              <w:jc w:val="right"/>
              <w:rPr>
                <w:rFonts w:cs="Arial"/>
                <w:color w:val="16365C"/>
                <w:sz w:val="18"/>
                <w:szCs w:val="18"/>
              </w:rPr>
            </w:pPr>
            <w:r w:rsidRPr="0007136B">
              <w:rPr>
                <w:rFonts w:cs="Arial"/>
                <w:color w:val="16365C"/>
                <w:sz w:val="18"/>
                <w:szCs w:val="18"/>
              </w:rPr>
              <w:t>535.737</w:t>
            </w:r>
          </w:p>
        </w:tc>
        <w:tc>
          <w:tcPr>
            <w:tcW w:w="947"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65163" w:rsidRDefault="00E65163" w:rsidP="00156F2F">
            <w:pPr>
              <w:spacing w:after="0" w:line="240" w:lineRule="auto"/>
              <w:jc w:val="right"/>
              <w:rPr>
                <w:rFonts w:cs="Arial"/>
                <w:color w:val="16365C"/>
                <w:sz w:val="18"/>
                <w:szCs w:val="18"/>
              </w:rPr>
            </w:pPr>
            <w:r>
              <w:rPr>
                <w:rFonts w:cs="Arial"/>
                <w:color w:val="16365C"/>
                <w:sz w:val="18"/>
                <w:szCs w:val="18"/>
              </w:rPr>
              <w:t>25.923</w:t>
            </w:r>
          </w:p>
        </w:tc>
      </w:tr>
      <w:tr w:rsidR="000A724E" w:rsidRPr="00313E09" w:rsidTr="000A724E">
        <w:trPr>
          <w:trHeight w:val="312"/>
          <w:jc w:val="center"/>
        </w:trPr>
        <w:tc>
          <w:tcPr>
            <w:tcW w:w="60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center"/>
            <w:hideMark/>
          </w:tcPr>
          <w:p w:rsidR="000A724E" w:rsidRPr="000E5CF5" w:rsidRDefault="000A724E" w:rsidP="00156F2F">
            <w:pPr>
              <w:spacing w:after="0" w:line="240" w:lineRule="auto"/>
              <w:rPr>
                <w:rFonts w:cs="Arial"/>
                <w:b/>
                <w:bCs/>
                <w:color w:val="244061" w:themeColor="accent1" w:themeShade="80"/>
                <w:sz w:val="18"/>
                <w:szCs w:val="18"/>
              </w:rPr>
            </w:pPr>
            <w:r w:rsidRPr="000E5CF5">
              <w:rPr>
                <w:rFonts w:cs="Arial"/>
                <w:b/>
                <w:bCs/>
                <w:color w:val="244061" w:themeColor="accent1" w:themeShade="80"/>
                <w:sz w:val="18"/>
                <w:szCs w:val="18"/>
              </w:rPr>
              <w:t>Ukupno TOP 10</w:t>
            </w:r>
            <w:r>
              <w:rPr>
                <w:rFonts w:cs="Arial"/>
                <w:b/>
                <w:bCs/>
                <w:color w:val="244061" w:themeColor="accent1" w:themeShade="80"/>
                <w:sz w:val="18"/>
                <w:szCs w:val="18"/>
              </w:rPr>
              <w:t xml:space="preserve"> poduzetnika</w:t>
            </w:r>
            <w:r w:rsidR="003E79B4">
              <w:rPr>
                <w:rFonts w:cs="Arial"/>
                <w:b/>
                <w:bCs/>
                <w:color w:val="244061" w:themeColor="accent1" w:themeShade="80"/>
                <w:sz w:val="18"/>
                <w:szCs w:val="18"/>
              </w:rPr>
              <w:t xml:space="preserve"> Urbane aglomeracije Rijeka</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tcPr>
          <w:p w:rsidR="000A724E" w:rsidRPr="000A724E" w:rsidRDefault="000A724E" w:rsidP="00156F2F">
            <w:pPr>
              <w:spacing w:after="0" w:line="240" w:lineRule="auto"/>
              <w:jc w:val="right"/>
              <w:rPr>
                <w:rFonts w:cs="Arial"/>
                <w:b/>
                <w:bCs/>
                <w:color w:val="244061" w:themeColor="accent1" w:themeShade="80"/>
                <w:sz w:val="18"/>
                <w:szCs w:val="18"/>
              </w:rPr>
            </w:pPr>
            <w:r w:rsidRPr="000A724E">
              <w:rPr>
                <w:rFonts w:cs="Arial"/>
                <w:b/>
                <w:bCs/>
                <w:color w:val="244061" w:themeColor="accent1" w:themeShade="80"/>
                <w:sz w:val="18"/>
                <w:szCs w:val="18"/>
              </w:rPr>
              <w:t xml:space="preserve">7.640 </w:t>
            </w:r>
          </w:p>
        </w:tc>
        <w:tc>
          <w:tcPr>
            <w:tcW w:w="1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tcPr>
          <w:p w:rsidR="000A724E" w:rsidRPr="000A724E" w:rsidRDefault="000A724E" w:rsidP="00156F2F">
            <w:pPr>
              <w:spacing w:after="0" w:line="240" w:lineRule="auto"/>
              <w:jc w:val="right"/>
              <w:rPr>
                <w:rFonts w:cs="Arial"/>
                <w:b/>
                <w:bCs/>
                <w:color w:val="244061" w:themeColor="accent1" w:themeShade="80"/>
                <w:sz w:val="18"/>
                <w:szCs w:val="18"/>
              </w:rPr>
            </w:pPr>
            <w:r w:rsidRPr="000A724E">
              <w:rPr>
                <w:rFonts w:cs="Arial"/>
                <w:b/>
                <w:bCs/>
                <w:color w:val="244061" w:themeColor="accent1" w:themeShade="80"/>
                <w:sz w:val="18"/>
                <w:szCs w:val="18"/>
              </w:rPr>
              <w:t xml:space="preserve">7.136.214 </w:t>
            </w:r>
          </w:p>
        </w:tc>
        <w:tc>
          <w:tcPr>
            <w:tcW w:w="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tcPr>
          <w:p w:rsidR="000A724E" w:rsidRPr="000A724E" w:rsidRDefault="000A724E" w:rsidP="00156F2F">
            <w:pPr>
              <w:spacing w:after="0" w:line="240" w:lineRule="auto"/>
              <w:jc w:val="right"/>
              <w:rPr>
                <w:rFonts w:cs="Arial"/>
                <w:b/>
                <w:bCs/>
                <w:color w:val="244061" w:themeColor="accent1" w:themeShade="80"/>
                <w:sz w:val="18"/>
                <w:szCs w:val="18"/>
              </w:rPr>
            </w:pPr>
            <w:r w:rsidRPr="000A724E">
              <w:rPr>
                <w:rFonts w:cs="Arial"/>
                <w:b/>
                <w:bCs/>
                <w:color w:val="244061" w:themeColor="accent1" w:themeShade="80"/>
                <w:sz w:val="18"/>
                <w:szCs w:val="18"/>
              </w:rPr>
              <w:t>437.347</w:t>
            </w:r>
          </w:p>
        </w:tc>
      </w:tr>
      <w:tr w:rsidR="00E65163" w:rsidRPr="00313E09" w:rsidTr="000A724E">
        <w:trPr>
          <w:trHeight w:val="312"/>
          <w:jc w:val="center"/>
        </w:trPr>
        <w:tc>
          <w:tcPr>
            <w:tcW w:w="60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hideMark/>
          </w:tcPr>
          <w:p w:rsidR="00E65163" w:rsidRPr="000E5CF5" w:rsidRDefault="00E65163" w:rsidP="00156F2F">
            <w:pPr>
              <w:spacing w:after="0" w:line="240" w:lineRule="auto"/>
              <w:rPr>
                <w:rFonts w:cs="Arial"/>
                <w:b/>
                <w:bCs/>
                <w:color w:val="244061" w:themeColor="accent1" w:themeShade="80"/>
                <w:sz w:val="18"/>
                <w:szCs w:val="18"/>
              </w:rPr>
            </w:pPr>
            <w:r w:rsidRPr="000E5CF5">
              <w:rPr>
                <w:rFonts w:cs="Arial"/>
                <w:b/>
                <w:bCs/>
                <w:color w:val="244061" w:themeColor="accent1" w:themeShade="80"/>
                <w:sz w:val="18"/>
                <w:szCs w:val="18"/>
              </w:rPr>
              <w:t xml:space="preserve">Ukupno </w:t>
            </w:r>
            <w:r>
              <w:rPr>
                <w:rFonts w:cs="Arial"/>
                <w:b/>
                <w:bCs/>
                <w:color w:val="244061" w:themeColor="accent1" w:themeShade="80"/>
                <w:sz w:val="18"/>
                <w:szCs w:val="18"/>
              </w:rPr>
              <w:t>poduzetnici Urbane aglomeracije Rijeka</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65163" w:rsidRPr="000A724E" w:rsidRDefault="007F0DF9" w:rsidP="00156F2F">
            <w:pPr>
              <w:spacing w:after="0" w:line="240" w:lineRule="auto"/>
              <w:jc w:val="right"/>
              <w:rPr>
                <w:rFonts w:cs="Arial"/>
                <w:b/>
                <w:bCs/>
                <w:color w:val="244061" w:themeColor="accent1" w:themeShade="80"/>
                <w:sz w:val="18"/>
                <w:szCs w:val="18"/>
              </w:rPr>
            </w:pPr>
            <w:r>
              <w:rPr>
                <w:rFonts w:cs="Arial"/>
                <w:b/>
                <w:bCs/>
                <w:color w:val="244061" w:themeColor="accent1" w:themeShade="80"/>
                <w:sz w:val="18"/>
                <w:szCs w:val="18"/>
              </w:rPr>
              <w:t>40.995</w:t>
            </w:r>
          </w:p>
        </w:tc>
        <w:tc>
          <w:tcPr>
            <w:tcW w:w="1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65163" w:rsidRPr="000A724E" w:rsidRDefault="007F0DF9" w:rsidP="00156F2F">
            <w:pPr>
              <w:spacing w:after="0" w:line="240" w:lineRule="auto"/>
              <w:jc w:val="right"/>
              <w:rPr>
                <w:rFonts w:cs="Arial"/>
                <w:b/>
                <w:bCs/>
                <w:color w:val="244061" w:themeColor="accent1" w:themeShade="80"/>
                <w:sz w:val="18"/>
                <w:szCs w:val="18"/>
              </w:rPr>
            </w:pPr>
            <w:r w:rsidRPr="007F0DF9">
              <w:rPr>
                <w:rFonts w:cs="Arial"/>
                <w:b/>
                <w:bCs/>
                <w:color w:val="244061" w:themeColor="accent1" w:themeShade="80"/>
                <w:sz w:val="18"/>
                <w:szCs w:val="18"/>
              </w:rPr>
              <w:t>24.736.775</w:t>
            </w:r>
          </w:p>
        </w:tc>
        <w:tc>
          <w:tcPr>
            <w:tcW w:w="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65163" w:rsidRPr="000A724E" w:rsidRDefault="007F0DF9" w:rsidP="00156F2F">
            <w:pPr>
              <w:spacing w:after="0" w:line="240" w:lineRule="auto"/>
              <w:jc w:val="right"/>
              <w:rPr>
                <w:rFonts w:cs="Arial"/>
                <w:b/>
                <w:bCs/>
                <w:color w:val="244061" w:themeColor="accent1" w:themeShade="80"/>
                <w:sz w:val="18"/>
                <w:szCs w:val="18"/>
              </w:rPr>
            </w:pPr>
            <w:r w:rsidRPr="007F0DF9">
              <w:rPr>
                <w:rFonts w:cs="Arial"/>
                <w:b/>
                <w:bCs/>
                <w:color w:val="244061" w:themeColor="accent1" w:themeShade="80"/>
                <w:sz w:val="18"/>
                <w:szCs w:val="18"/>
              </w:rPr>
              <w:t>1.424.890</w:t>
            </w:r>
          </w:p>
        </w:tc>
      </w:tr>
    </w:tbl>
    <w:p w:rsidR="00515596" w:rsidRDefault="00E65163" w:rsidP="00080961">
      <w:pPr>
        <w:spacing w:before="60" w:line="240" w:lineRule="auto"/>
        <w:rPr>
          <w:rFonts w:eastAsia="Calibri" w:cs="Arial"/>
          <w:b/>
          <w:color w:val="244061"/>
          <w:sz w:val="20"/>
          <w:u w:val="single"/>
          <w:lang w:eastAsia="en-US"/>
        </w:rPr>
      </w:pPr>
      <w:r w:rsidRPr="00A77A2F">
        <w:rPr>
          <w:bCs/>
          <w:i/>
          <w:color w:val="17365D"/>
          <w:sz w:val="16"/>
          <w:szCs w:val="18"/>
        </w:rPr>
        <w:t>Izvor: Fina, Registar godišnjih financijskih izvještaja, obrada GFI-a za 201</w:t>
      </w:r>
      <w:r w:rsidR="00F523CC">
        <w:rPr>
          <w:bCs/>
          <w:i/>
          <w:color w:val="17365D"/>
          <w:sz w:val="16"/>
          <w:szCs w:val="18"/>
        </w:rPr>
        <w:t>6</w:t>
      </w:r>
      <w:r w:rsidRPr="00A77A2F">
        <w:rPr>
          <w:bCs/>
          <w:i/>
          <w:color w:val="17365D"/>
          <w:sz w:val="16"/>
          <w:szCs w:val="18"/>
        </w:rPr>
        <w:t xml:space="preserve">. </w:t>
      </w:r>
      <w:r w:rsidR="00515596">
        <w:rPr>
          <w:bCs/>
          <w:i/>
          <w:color w:val="17365D"/>
          <w:sz w:val="16"/>
          <w:szCs w:val="18"/>
        </w:rPr>
        <w:t>g</w:t>
      </w:r>
      <w:r w:rsidRPr="00A77A2F">
        <w:rPr>
          <w:bCs/>
          <w:i/>
          <w:color w:val="17365D"/>
          <w:sz w:val="16"/>
          <w:szCs w:val="18"/>
        </w:rPr>
        <w:t>odinu</w:t>
      </w:r>
    </w:p>
    <w:p w:rsidR="00626754" w:rsidRDefault="00E65163" w:rsidP="00E26D38">
      <w:pPr>
        <w:widowControl w:val="0"/>
        <w:spacing w:before="180" w:after="0"/>
        <w:jc w:val="both"/>
        <w:rPr>
          <w:rFonts w:eastAsia="Calibri" w:cs="Arial"/>
          <w:color w:val="244061"/>
          <w:sz w:val="20"/>
          <w:lang w:eastAsia="en-US"/>
        </w:rPr>
      </w:pPr>
      <w:r w:rsidRPr="00E26D38">
        <w:rPr>
          <w:rFonts w:eastAsia="Calibri" w:cs="Arial"/>
          <w:color w:val="244061"/>
          <w:sz w:val="20"/>
          <w:lang w:eastAsia="en-US"/>
        </w:rPr>
        <w:t>TOP 10</w:t>
      </w:r>
      <w:r w:rsidRPr="007F0DF9">
        <w:rPr>
          <w:rFonts w:eastAsia="Calibri" w:cs="Arial"/>
          <w:color w:val="244061"/>
          <w:sz w:val="20"/>
          <w:lang w:eastAsia="en-US"/>
        </w:rPr>
        <w:t xml:space="preserve"> poduzetnika</w:t>
      </w:r>
      <w:r w:rsidR="00080961">
        <w:rPr>
          <w:rFonts w:eastAsia="Calibri" w:cs="Arial"/>
          <w:color w:val="244061"/>
          <w:sz w:val="20"/>
          <w:lang w:eastAsia="en-US"/>
        </w:rPr>
        <w:t>,</w:t>
      </w:r>
      <w:r w:rsidRPr="007F0DF9">
        <w:rPr>
          <w:rFonts w:eastAsia="Calibri" w:cs="Arial"/>
          <w:color w:val="244061"/>
          <w:sz w:val="20"/>
          <w:lang w:eastAsia="en-US"/>
        </w:rPr>
        <w:t xml:space="preserve"> </w:t>
      </w:r>
      <w:r w:rsidR="00080961">
        <w:rPr>
          <w:rFonts w:eastAsia="Calibri" w:cs="Arial"/>
          <w:color w:val="244061"/>
          <w:sz w:val="20"/>
          <w:lang w:eastAsia="en-US"/>
        </w:rPr>
        <w:t>čije je sjedište u jednom od gradova/općina obuhvaćenim Urbanom</w:t>
      </w:r>
      <w:r w:rsidRPr="007F0DF9">
        <w:rPr>
          <w:rFonts w:eastAsia="Calibri" w:cs="Arial"/>
          <w:color w:val="244061"/>
          <w:sz w:val="20"/>
          <w:lang w:eastAsia="en-US"/>
        </w:rPr>
        <w:t xml:space="preserve"> aglomeracij</w:t>
      </w:r>
      <w:r w:rsidR="00080961">
        <w:rPr>
          <w:rFonts w:eastAsia="Calibri" w:cs="Arial"/>
          <w:color w:val="244061"/>
          <w:sz w:val="20"/>
          <w:lang w:eastAsia="en-US"/>
        </w:rPr>
        <w:t>om</w:t>
      </w:r>
      <w:r w:rsidRPr="007F0DF9">
        <w:rPr>
          <w:rFonts w:eastAsia="Calibri" w:cs="Arial"/>
          <w:color w:val="244061"/>
          <w:sz w:val="20"/>
          <w:lang w:eastAsia="en-US"/>
        </w:rPr>
        <w:t xml:space="preserve"> Rijeka</w:t>
      </w:r>
      <w:r w:rsidR="00C82B9B">
        <w:rPr>
          <w:rFonts w:eastAsia="Calibri" w:cs="Arial"/>
          <w:color w:val="244061"/>
          <w:sz w:val="20"/>
          <w:lang w:eastAsia="en-US"/>
        </w:rPr>
        <w:t>,</w:t>
      </w:r>
      <w:r w:rsidRPr="007F0DF9">
        <w:rPr>
          <w:rFonts w:eastAsia="Calibri" w:cs="Arial"/>
          <w:color w:val="244061"/>
          <w:sz w:val="20"/>
          <w:lang w:eastAsia="en-US"/>
        </w:rPr>
        <w:t xml:space="preserve"> u 201</w:t>
      </w:r>
      <w:r w:rsidR="00F523CC" w:rsidRPr="007F0DF9">
        <w:rPr>
          <w:rFonts w:eastAsia="Calibri" w:cs="Arial"/>
          <w:color w:val="244061"/>
          <w:sz w:val="20"/>
          <w:lang w:eastAsia="en-US"/>
        </w:rPr>
        <w:t>6</w:t>
      </w:r>
      <w:r w:rsidRPr="007F0DF9">
        <w:rPr>
          <w:rFonts w:eastAsia="Calibri" w:cs="Arial"/>
          <w:color w:val="244061"/>
          <w:sz w:val="20"/>
          <w:lang w:eastAsia="en-US"/>
        </w:rPr>
        <w:t xml:space="preserve">. </w:t>
      </w:r>
      <w:r w:rsidR="00080961">
        <w:rPr>
          <w:rFonts w:eastAsia="Calibri" w:cs="Arial"/>
          <w:color w:val="244061"/>
          <w:sz w:val="20"/>
          <w:lang w:eastAsia="en-US"/>
        </w:rPr>
        <w:t>g</w:t>
      </w:r>
      <w:r w:rsidRPr="007F0DF9">
        <w:rPr>
          <w:rFonts w:eastAsia="Calibri" w:cs="Arial"/>
          <w:color w:val="244061"/>
          <w:sz w:val="20"/>
          <w:lang w:eastAsia="en-US"/>
        </w:rPr>
        <w:t>odini</w:t>
      </w:r>
      <w:r w:rsidR="00080961">
        <w:rPr>
          <w:rFonts w:eastAsia="Calibri" w:cs="Arial"/>
          <w:color w:val="244061"/>
          <w:sz w:val="20"/>
          <w:lang w:eastAsia="en-US"/>
        </w:rPr>
        <w:t xml:space="preserve"> </w:t>
      </w:r>
      <w:r w:rsidR="0096021D">
        <w:rPr>
          <w:rFonts w:eastAsia="Calibri" w:cs="Arial"/>
          <w:color w:val="244061"/>
          <w:sz w:val="20"/>
          <w:lang w:eastAsia="en-US"/>
        </w:rPr>
        <w:t>zap</w:t>
      </w:r>
      <w:r w:rsidR="003E79B4">
        <w:rPr>
          <w:rFonts w:eastAsia="Calibri" w:cs="Arial"/>
          <w:color w:val="244061"/>
          <w:sz w:val="20"/>
          <w:lang w:eastAsia="en-US"/>
        </w:rPr>
        <w:t>ošljavalo je</w:t>
      </w:r>
      <w:r w:rsidR="007F0DF9" w:rsidRPr="007F0DF9">
        <w:rPr>
          <w:rFonts w:eastAsia="Calibri" w:cs="Arial"/>
          <w:color w:val="244061"/>
          <w:sz w:val="20"/>
          <w:lang w:eastAsia="en-US"/>
        </w:rPr>
        <w:t xml:space="preserve"> 7640 zaposlenih ili 18,6 % ukupnog broja zaposlenih kod poduzetnika Urbane aglomeracije Rijeka,</w:t>
      </w:r>
      <w:r w:rsidRPr="007F0DF9">
        <w:rPr>
          <w:rFonts w:eastAsia="Calibri" w:cs="Arial"/>
          <w:color w:val="244061"/>
          <w:sz w:val="20"/>
          <w:lang w:eastAsia="en-US"/>
        </w:rPr>
        <w:t xml:space="preserve"> ostvarili su </w:t>
      </w:r>
      <w:r w:rsidR="0020405E" w:rsidRPr="007F0DF9">
        <w:rPr>
          <w:rFonts w:eastAsia="Calibri" w:cs="Arial"/>
          <w:color w:val="244061"/>
          <w:sz w:val="20"/>
          <w:lang w:eastAsia="en-US"/>
        </w:rPr>
        <w:t>ukupan prihod u iznosu od 7,1 milijardu kuna ili 2</w:t>
      </w:r>
      <w:r w:rsidR="007F0DF9" w:rsidRPr="007F0DF9">
        <w:rPr>
          <w:rFonts w:eastAsia="Calibri" w:cs="Arial"/>
          <w:color w:val="244061"/>
          <w:sz w:val="20"/>
          <w:lang w:eastAsia="en-US"/>
        </w:rPr>
        <w:t>8</w:t>
      </w:r>
      <w:r w:rsidR="0020405E" w:rsidRPr="007F0DF9">
        <w:rPr>
          <w:rFonts w:eastAsia="Calibri" w:cs="Arial"/>
          <w:color w:val="244061"/>
          <w:sz w:val="20"/>
          <w:lang w:eastAsia="en-US"/>
        </w:rPr>
        <w:t>,</w:t>
      </w:r>
      <w:r w:rsidR="007F0DF9" w:rsidRPr="007F0DF9">
        <w:rPr>
          <w:rFonts w:eastAsia="Calibri" w:cs="Arial"/>
          <w:color w:val="244061"/>
          <w:sz w:val="20"/>
          <w:lang w:eastAsia="en-US"/>
        </w:rPr>
        <w:t>8</w:t>
      </w:r>
      <w:r w:rsidR="0020405E" w:rsidRPr="007F0DF9">
        <w:rPr>
          <w:rFonts w:eastAsia="Calibri" w:cs="Arial"/>
          <w:color w:val="244061"/>
          <w:sz w:val="20"/>
          <w:lang w:eastAsia="en-US"/>
        </w:rPr>
        <w:t xml:space="preserve"> % </w:t>
      </w:r>
      <w:r w:rsidR="007F0DF9">
        <w:rPr>
          <w:rFonts w:eastAsia="Calibri" w:cs="Arial"/>
          <w:color w:val="244061"/>
          <w:sz w:val="20"/>
          <w:lang w:eastAsia="en-US"/>
        </w:rPr>
        <w:t>o</w:t>
      </w:r>
      <w:r w:rsidR="0020405E" w:rsidRPr="007F0DF9">
        <w:rPr>
          <w:rFonts w:eastAsia="Calibri" w:cs="Arial"/>
          <w:color w:val="244061"/>
          <w:sz w:val="20"/>
          <w:lang w:eastAsia="en-US"/>
        </w:rPr>
        <w:t xml:space="preserve">stvarenog </w:t>
      </w:r>
      <w:r w:rsidR="007F0DF9">
        <w:rPr>
          <w:rFonts w:eastAsia="Calibri" w:cs="Arial"/>
          <w:color w:val="244061"/>
          <w:sz w:val="20"/>
          <w:lang w:eastAsia="en-US"/>
        </w:rPr>
        <w:t xml:space="preserve">ukupnog </w:t>
      </w:r>
      <w:r w:rsidR="0020405E" w:rsidRPr="007F0DF9">
        <w:rPr>
          <w:rFonts w:eastAsia="Calibri" w:cs="Arial"/>
          <w:color w:val="244061"/>
          <w:sz w:val="20"/>
          <w:lang w:eastAsia="en-US"/>
        </w:rPr>
        <w:t xml:space="preserve">prihoda </w:t>
      </w:r>
      <w:r w:rsidR="007F0DF9">
        <w:rPr>
          <w:rFonts w:eastAsia="Calibri" w:cs="Arial"/>
          <w:color w:val="244061"/>
          <w:sz w:val="20"/>
          <w:lang w:eastAsia="en-US"/>
        </w:rPr>
        <w:t>p</w:t>
      </w:r>
      <w:r w:rsidR="0020405E" w:rsidRPr="007F0DF9">
        <w:rPr>
          <w:rFonts w:eastAsia="Calibri" w:cs="Arial"/>
          <w:color w:val="244061"/>
          <w:sz w:val="20"/>
          <w:lang w:eastAsia="en-US"/>
        </w:rPr>
        <w:t xml:space="preserve">oduzetnika Urbane aglomeracije Rijeka te </w:t>
      </w:r>
      <w:r w:rsidRPr="0096021D">
        <w:rPr>
          <w:rFonts w:eastAsia="Calibri" w:cs="Arial"/>
          <w:color w:val="244061"/>
          <w:sz w:val="20"/>
          <w:lang w:eastAsia="en-US"/>
        </w:rPr>
        <w:t xml:space="preserve">dobit razdoblja u iznosu od </w:t>
      </w:r>
      <w:r w:rsidR="00FF3E92" w:rsidRPr="0096021D">
        <w:rPr>
          <w:rFonts w:eastAsia="Calibri" w:cs="Arial"/>
          <w:color w:val="244061"/>
          <w:sz w:val="20"/>
          <w:lang w:eastAsia="en-US"/>
        </w:rPr>
        <w:t>437,3</w:t>
      </w:r>
      <w:r w:rsidRPr="0096021D">
        <w:rPr>
          <w:rFonts w:eastAsia="Calibri" w:cs="Arial"/>
          <w:color w:val="244061"/>
          <w:sz w:val="20"/>
          <w:lang w:eastAsia="en-US"/>
        </w:rPr>
        <w:t xml:space="preserve"> </w:t>
      </w:r>
      <w:r w:rsidRPr="007F0DF9">
        <w:rPr>
          <w:rFonts w:eastAsia="Calibri" w:cs="Arial"/>
          <w:color w:val="244061"/>
          <w:sz w:val="20"/>
          <w:lang w:eastAsia="en-US"/>
        </w:rPr>
        <w:t xml:space="preserve">milijuna kuna ili </w:t>
      </w:r>
      <w:r w:rsidR="00FF3E92" w:rsidRPr="007F0DF9">
        <w:rPr>
          <w:rFonts w:eastAsia="Calibri" w:cs="Arial"/>
          <w:color w:val="244061"/>
          <w:sz w:val="20"/>
          <w:lang w:eastAsia="en-US"/>
        </w:rPr>
        <w:t>3</w:t>
      </w:r>
      <w:r w:rsidR="007F0DF9" w:rsidRPr="007F0DF9">
        <w:rPr>
          <w:rFonts w:eastAsia="Calibri" w:cs="Arial"/>
          <w:color w:val="244061"/>
          <w:sz w:val="20"/>
          <w:lang w:eastAsia="en-US"/>
        </w:rPr>
        <w:t>0</w:t>
      </w:r>
      <w:r w:rsidR="00FF3E92" w:rsidRPr="007F0DF9">
        <w:rPr>
          <w:rFonts w:eastAsia="Calibri" w:cs="Arial"/>
          <w:color w:val="244061"/>
          <w:sz w:val="20"/>
          <w:lang w:eastAsia="en-US"/>
        </w:rPr>
        <w:t>,7</w:t>
      </w:r>
      <w:r w:rsidRPr="007F0DF9">
        <w:rPr>
          <w:rFonts w:eastAsia="Calibri" w:cs="Arial"/>
          <w:color w:val="244061"/>
          <w:sz w:val="20"/>
          <w:lang w:eastAsia="en-US"/>
        </w:rPr>
        <w:t xml:space="preserve"> % ukupne dobiti razdoblja poduzetnika Urban</w:t>
      </w:r>
      <w:r w:rsidR="007F0DF9">
        <w:rPr>
          <w:rFonts w:eastAsia="Calibri" w:cs="Arial"/>
          <w:color w:val="244061"/>
          <w:sz w:val="20"/>
          <w:lang w:eastAsia="en-US"/>
        </w:rPr>
        <w:t>e</w:t>
      </w:r>
      <w:r w:rsidRPr="007F0DF9">
        <w:rPr>
          <w:rFonts w:eastAsia="Calibri" w:cs="Arial"/>
          <w:color w:val="244061"/>
          <w:sz w:val="20"/>
          <w:lang w:eastAsia="en-US"/>
        </w:rPr>
        <w:t xml:space="preserve"> aglomeracij</w:t>
      </w:r>
      <w:r w:rsidR="007F0DF9">
        <w:rPr>
          <w:rFonts w:eastAsia="Calibri" w:cs="Arial"/>
          <w:color w:val="244061"/>
          <w:sz w:val="20"/>
          <w:lang w:eastAsia="en-US"/>
        </w:rPr>
        <w:t>e</w:t>
      </w:r>
      <w:r w:rsidRPr="007F0DF9">
        <w:rPr>
          <w:rFonts w:eastAsia="Calibri" w:cs="Arial"/>
          <w:color w:val="244061"/>
          <w:sz w:val="20"/>
          <w:lang w:eastAsia="en-US"/>
        </w:rPr>
        <w:t xml:space="preserve"> Rijeka.</w:t>
      </w:r>
    </w:p>
    <w:p w:rsidR="00D6295D" w:rsidRDefault="00D6295D" w:rsidP="00D6295D">
      <w:pPr>
        <w:widowControl w:val="0"/>
        <w:tabs>
          <w:tab w:val="left" w:pos="567"/>
        </w:tabs>
        <w:spacing w:before="120" w:after="0"/>
        <w:jc w:val="both"/>
        <w:rPr>
          <w:b/>
          <w:bCs/>
          <w:color w:val="244061" w:themeColor="accent1" w:themeShade="80"/>
          <w:sz w:val="20"/>
          <w:u w:val="single"/>
        </w:rPr>
      </w:pPr>
      <w:r w:rsidRPr="00882537">
        <w:rPr>
          <w:rFonts w:eastAsia="Calibri" w:cs="Arial"/>
          <w:color w:val="244061" w:themeColor="accent1" w:themeShade="80"/>
          <w:sz w:val="20"/>
          <w:lang w:eastAsia="en-US"/>
        </w:rPr>
        <w:lastRenderedPageBreak/>
        <w:t>U 201</w:t>
      </w:r>
      <w:r>
        <w:rPr>
          <w:rFonts w:eastAsia="Calibri" w:cs="Arial"/>
          <w:color w:val="244061" w:themeColor="accent1" w:themeShade="80"/>
          <w:sz w:val="20"/>
          <w:lang w:eastAsia="en-US"/>
        </w:rPr>
        <w:t>6</w:t>
      </w:r>
      <w:r w:rsidRPr="00882537">
        <w:rPr>
          <w:rFonts w:eastAsia="Calibri" w:cs="Arial"/>
          <w:color w:val="244061" w:themeColor="accent1" w:themeShade="80"/>
          <w:sz w:val="20"/>
          <w:lang w:eastAsia="en-US"/>
        </w:rPr>
        <w:t>. godini poduzetnici</w:t>
      </w:r>
      <w:r>
        <w:rPr>
          <w:rFonts w:eastAsia="Calibri" w:cs="Arial"/>
          <w:color w:val="244061" w:themeColor="accent1" w:themeShade="80"/>
          <w:sz w:val="20"/>
          <w:lang w:eastAsia="en-US"/>
        </w:rPr>
        <w:t>,</w:t>
      </w:r>
      <w:r w:rsidRPr="00882537">
        <w:rPr>
          <w:rFonts w:eastAsia="Calibri" w:cs="Arial"/>
          <w:color w:val="244061" w:themeColor="accent1" w:themeShade="80"/>
          <w:sz w:val="20"/>
          <w:lang w:eastAsia="en-US"/>
        </w:rPr>
        <w:t xml:space="preserve"> čije je sjedište u jednom od gradova i općina obuhvaćenih Urbanom aglomeracijom Rijeka, ostvarili su ukupan prihod u iznosu od 24,</w:t>
      </w:r>
      <w:r>
        <w:rPr>
          <w:rFonts w:eastAsia="Calibri" w:cs="Arial"/>
          <w:color w:val="244061" w:themeColor="accent1" w:themeShade="80"/>
          <w:sz w:val="20"/>
          <w:lang w:eastAsia="en-US"/>
        </w:rPr>
        <w:t>7 milijardi kuna (n</w:t>
      </w:r>
      <w:r w:rsidRPr="006601AF">
        <w:rPr>
          <w:color w:val="244061" w:themeColor="accent1" w:themeShade="80"/>
          <w:sz w:val="20"/>
        </w:rPr>
        <w:t xml:space="preserve">jihov udio u ukupnim prihodima poduzetnika Primorsko-goranske županije iznosi </w:t>
      </w:r>
      <w:r>
        <w:rPr>
          <w:color w:val="244061" w:themeColor="accent1" w:themeShade="80"/>
          <w:sz w:val="20"/>
        </w:rPr>
        <w:t xml:space="preserve">70,7 </w:t>
      </w:r>
      <w:r w:rsidRPr="006601AF">
        <w:rPr>
          <w:color w:val="244061" w:themeColor="accent1" w:themeShade="80"/>
          <w:sz w:val="20"/>
        </w:rPr>
        <w:t>%</w:t>
      </w:r>
      <w:r>
        <w:rPr>
          <w:color w:val="244061" w:themeColor="accent1" w:themeShade="80"/>
          <w:sz w:val="20"/>
        </w:rPr>
        <w:t>) te neto dobit u iznosu od 986 milijuna kuna (</w:t>
      </w:r>
      <w:r w:rsidRPr="00156F2F">
        <w:rPr>
          <w:color w:val="244061" w:themeColor="accent1" w:themeShade="80"/>
          <w:sz w:val="20"/>
        </w:rPr>
        <w:t xml:space="preserve">njihov udio u </w:t>
      </w:r>
      <w:r>
        <w:rPr>
          <w:color w:val="244061" w:themeColor="accent1" w:themeShade="80"/>
          <w:sz w:val="20"/>
        </w:rPr>
        <w:t xml:space="preserve">neto dobiti </w:t>
      </w:r>
      <w:r w:rsidRPr="00156F2F">
        <w:rPr>
          <w:color w:val="244061" w:themeColor="accent1" w:themeShade="80"/>
          <w:sz w:val="20"/>
        </w:rPr>
        <w:t>poduzetnika Primorsko-goranske županije iznosi</w:t>
      </w:r>
      <w:r>
        <w:rPr>
          <w:color w:val="244061" w:themeColor="accent1" w:themeShade="80"/>
          <w:sz w:val="20"/>
        </w:rPr>
        <w:t xml:space="preserve"> 82,7 %).</w:t>
      </w:r>
    </w:p>
    <w:p w:rsidR="00E65163" w:rsidRPr="00E26D38" w:rsidRDefault="00E65163" w:rsidP="00167A79">
      <w:pPr>
        <w:widowControl w:val="0"/>
        <w:spacing w:before="180" w:after="60" w:line="240" w:lineRule="auto"/>
        <w:ind w:left="1134" w:hanging="1134"/>
        <w:rPr>
          <w:rFonts w:eastAsia="Calibri" w:cs="Arial"/>
          <w:b/>
          <w:color w:val="244061"/>
          <w:sz w:val="18"/>
          <w:szCs w:val="18"/>
          <w:lang w:eastAsia="en-US"/>
        </w:rPr>
      </w:pPr>
      <w:r w:rsidRPr="00E26D38">
        <w:rPr>
          <w:rFonts w:eastAsia="Calibri" w:cs="Arial"/>
          <w:b/>
          <w:color w:val="17365D"/>
          <w:sz w:val="18"/>
          <w:szCs w:val="18"/>
          <w:lang w:eastAsia="en-US"/>
        </w:rPr>
        <w:t xml:space="preserve">Grafikon </w:t>
      </w:r>
      <w:r w:rsidR="004327E0" w:rsidRPr="00E26D38">
        <w:rPr>
          <w:rFonts w:eastAsia="Calibri" w:cs="Arial"/>
          <w:b/>
          <w:color w:val="17365D"/>
          <w:sz w:val="18"/>
          <w:szCs w:val="18"/>
          <w:lang w:eastAsia="en-US"/>
        </w:rPr>
        <w:t>1</w:t>
      </w:r>
      <w:r w:rsidRPr="00E26D38">
        <w:rPr>
          <w:rFonts w:eastAsia="Calibri" w:cs="Arial"/>
          <w:b/>
          <w:color w:val="17365D"/>
          <w:sz w:val="18"/>
          <w:szCs w:val="18"/>
          <w:lang w:eastAsia="en-US"/>
        </w:rPr>
        <w:t>.</w:t>
      </w:r>
      <w:r w:rsidRPr="00E26D38">
        <w:rPr>
          <w:rFonts w:eastAsia="Calibri" w:cs="Arial"/>
          <w:b/>
          <w:color w:val="17365D"/>
          <w:sz w:val="18"/>
          <w:szCs w:val="18"/>
          <w:lang w:eastAsia="en-US"/>
        </w:rPr>
        <w:tab/>
      </w:r>
      <w:r w:rsidRPr="00E26D38">
        <w:rPr>
          <w:rFonts w:eastAsia="Calibri" w:cs="Arial"/>
          <w:b/>
          <w:color w:val="244061"/>
          <w:sz w:val="18"/>
          <w:szCs w:val="18"/>
          <w:lang w:eastAsia="en-US"/>
        </w:rPr>
        <w:t>Udio ukupnog prihoda i neto dobiti poduzetnika Urbane aglomeracije Rijeka u ukupnom prihodu i neto dobiti poduzetnika Primorsko-goranske županije u 201</w:t>
      </w:r>
      <w:r w:rsidR="00FC52F5" w:rsidRPr="00E26D38">
        <w:rPr>
          <w:rFonts w:eastAsia="Calibri" w:cs="Arial"/>
          <w:b/>
          <w:color w:val="244061"/>
          <w:sz w:val="18"/>
          <w:szCs w:val="18"/>
          <w:lang w:eastAsia="en-US"/>
        </w:rPr>
        <w:t>6</w:t>
      </w:r>
      <w:r w:rsidRPr="00E26D38">
        <w:rPr>
          <w:rFonts w:eastAsia="Calibri" w:cs="Arial"/>
          <w:b/>
          <w:color w:val="244061"/>
          <w:sz w:val="18"/>
          <w:szCs w:val="18"/>
          <w:lang w:eastAsia="en-US"/>
        </w:rPr>
        <w:t>. godini</w:t>
      </w:r>
    </w:p>
    <w:p w:rsidR="009C7CFA" w:rsidRDefault="009C7CFA" w:rsidP="00626754">
      <w:pPr>
        <w:widowControl w:val="0"/>
        <w:spacing w:after="60" w:line="240" w:lineRule="auto"/>
        <w:ind w:left="1134" w:hanging="1134"/>
        <w:jc w:val="center"/>
        <w:rPr>
          <w:bCs/>
          <w:i/>
          <w:color w:val="17365D"/>
          <w:sz w:val="16"/>
          <w:szCs w:val="18"/>
        </w:rPr>
      </w:pPr>
      <w:r>
        <w:rPr>
          <w:rFonts w:eastAsia="Calibri" w:cs="Arial"/>
          <w:noProof/>
          <w:color w:val="244061"/>
          <w:sz w:val="18"/>
          <w:szCs w:val="18"/>
        </w:rPr>
        <w:drawing>
          <wp:inline distT="0" distB="0" distL="0" distR="0" wp14:anchorId="015CB630" wp14:editId="5CC5F49A">
            <wp:extent cx="6015062" cy="1944000"/>
            <wp:effectExtent l="0" t="0" r="508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5062" cy="1944000"/>
                    </a:xfrm>
                    <a:prstGeom prst="rect">
                      <a:avLst/>
                    </a:prstGeom>
                    <a:noFill/>
                  </pic:spPr>
                </pic:pic>
              </a:graphicData>
            </a:graphic>
          </wp:inline>
        </w:drawing>
      </w:r>
    </w:p>
    <w:p w:rsidR="00E65163" w:rsidRPr="002E14BE" w:rsidRDefault="00E65163" w:rsidP="009C7CFA">
      <w:pPr>
        <w:widowControl w:val="0"/>
        <w:spacing w:line="240" w:lineRule="auto"/>
        <w:ind w:left="1134" w:hanging="1134"/>
        <w:rPr>
          <w:rFonts w:eastAsia="Calibri" w:cs="Arial"/>
          <w:color w:val="244061"/>
          <w:sz w:val="18"/>
          <w:szCs w:val="18"/>
          <w:lang w:eastAsia="en-US"/>
        </w:rPr>
      </w:pPr>
      <w:r w:rsidRPr="00A77A2F">
        <w:rPr>
          <w:bCs/>
          <w:i/>
          <w:color w:val="17365D"/>
          <w:sz w:val="16"/>
          <w:szCs w:val="18"/>
        </w:rPr>
        <w:t>Izvor: Fina, Registar godišnjih financijskih izvještaja, obrada GFI-a za 201</w:t>
      </w:r>
      <w:r w:rsidR="009C7CFA">
        <w:rPr>
          <w:bCs/>
          <w:i/>
          <w:color w:val="17365D"/>
          <w:sz w:val="16"/>
          <w:szCs w:val="18"/>
        </w:rPr>
        <w:t>6</w:t>
      </w:r>
      <w:r w:rsidRPr="00A77A2F">
        <w:rPr>
          <w:bCs/>
          <w:i/>
          <w:color w:val="17365D"/>
          <w:sz w:val="16"/>
          <w:szCs w:val="18"/>
        </w:rPr>
        <w:t>. godinu</w:t>
      </w:r>
    </w:p>
    <w:p w:rsidR="008F09DA" w:rsidRDefault="00E65163" w:rsidP="00932C8E">
      <w:pPr>
        <w:widowControl w:val="0"/>
        <w:spacing w:before="120" w:after="120"/>
        <w:jc w:val="both"/>
        <w:rPr>
          <w:rStyle w:val="cat-var-name1"/>
          <w:rFonts w:cs="Arial"/>
          <w:color w:val="222222"/>
          <w:szCs w:val="22"/>
        </w:rPr>
      </w:pPr>
      <w:r w:rsidRPr="00E26D38">
        <w:rPr>
          <w:b/>
          <w:bCs/>
          <w:color w:val="244061" w:themeColor="accent1" w:themeShade="80"/>
          <w:sz w:val="20"/>
        </w:rPr>
        <w:t xml:space="preserve">Prema </w:t>
      </w:r>
      <w:r w:rsidRPr="00E26D38">
        <w:rPr>
          <w:rFonts w:cs="Arial"/>
          <w:b/>
          <w:color w:val="244061" w:themeColor="accent1" w:themeShade="80"/>
          <w:sz w:val="20"/>
        </w:rPr>
        <w:t>produktivnosti</w:t>
      </w:r>
      <w:r w:rsidRPr="00547762">
        <w:rPr>
          <w:bCs/>
          <w:color w:val="244061" w:themeColor="accent1" w:themeShade="80"/>
          <w:sz w:val="20"/>
        </w:rPr>
        <w:t xml:space="preserve"> (prihodu po zaposlenom), </w:t>
      </w:r>
      <w:r w:rsidR="00313E09">
        <w:rPr>
          <w:bCs/>
          <w:color w:val="244061" w:themeColor="accent1" w:themeShade="80"/>
          <w:sz w:val="20"/>
        </w:rPr>
        <w:t xml:space="preserve">prvi </w:t>
      </w:r>
      <w:r w:rsidRPr="00547762">
        <w:rPr>
          <w:bCs/>
          <w:color w:val="244061" w:themeColor="accent1" w:themeShade="80"/>
          <w:sz w:val="20"/>
        </w:rPr>
        <w:t xml:space="preserve">su poduzetnici </w:t>
      </w:r>
      <w:r w:rsidR="00167A79">
        <w:rPr>
          <w:bCs/>
          <w:color w:val="244061" w:themeColor="accent1" w:themeShade="80"/>
          <w:sz w:val="20"/>
        </w:rPr>
        <w:t xml:space="preserve">sa sjedištem u </w:t>
      </w:r>
      <w:proofErr w:type="spellStart"/>
      <w:r w:rsidRPr="00547762">
        <w:rPr>
          <w:bCs/>
          <w:color w:val="244061" w:themeColor="accent1" w:themeShade="80"/>
          <w:sz w:val="20"/>
        </w:rPr>
        <w:t>Kastv</w:t>
      </w:r>
      <w:r w:rsidR="00167A79">
        <w:rPr>
          <w:bCs/>
          <w:color w:val="244061" w:themeColor="accent1" w:themeShade="80"/>
          <w:sz w:val="20"/>
        </w:rPr>
        <w:t>u</w:t>
      </w:r>
      <w:proofErr w:type="spellEnd"/>
      <w:r w:rsidRPr="00547762">
        <w:rPr>
          <w:bCs/>
          <w:color w:val="244061" w:themeColor="accent1" w:themeShade="80"/>
          <w:sz w:val="20"/>
        </w:rPr>
        <w:t xml:space="preserve">, s </w:t>
      </w:r>
      <w:r w:rsidR="002A31D4">
        <w:rPr>
          <w:bCs/>
          <w:color w:val="244061" w:themeColor="accent1" w:themeShade="80"/>
          <w:sz w:val="20"/>
        </w:rPr>
        <w:t>819</w:t>
      </w:r>
      <w:r w:rsidRPr="00547762">
        <w:rPr>
          <w:bCs/>
          <w:color w:val="244061" w:themeColor="accent1" w:themeShade="80"/>
          <w:sz w:val="20"/>
        </w:rPr>
        <w:t xml:space="preserve"> tisuća kuna, dok je među poduzetnicima navedenog grada po produktivnosti na prvom mjestu</w:t>
      </w:r>
      <w:r w:rsidR="00906215">
        <w:rPr>
          <w:bCs/>
          <w:color w:val="244061" w:themeColor="accent1" w:themeShade="80"/>
          <w:sz w:val="20"/>
        </w:rPr>
        <w:t xml:space="preserve"> mali poduzetnik</w:t>
      </w:r>
      <w:r w:rsidRPr="00547762">
        <w:rPr>
          <w:bCs/>
          <w:color w:val="244061" w:themeColor="accent1" w:themeShade="80"/>
          <w:sz w:val="20"/>
        </w:rPr>
        <w:t xml:space="preserve"> </w:t>
      </w:r>
      <w:hyperlink r:id="rId14" w:history="1">
        <w:r w:rsidR="002A31D4" w:rsidRPr="00B27E68">
          <w:rPr>
            <w:rStyle w:val="Hyperlink"/>
            <w:bCs/>
            <w:sz w:val="20"/>
          </w:rPr>
          <w:t xml:space="preserve">GAS OIL RIJEKA </w:t>
        </w:r>
        <w:r w:rsidRPr="00B27E68">
          <w:rPr>
            <w:rStyle w:val="Hyperlink"/>
            <w:bCs/>
            <w:sz w:val="20"/>
          </w:rPr>
          <w:t>d.o.o.</w:t>
        </w:r>
      </w:hyperlink>
      <w:r w:rsidRPr="00547762">
        <w:rPr>
          <w:bCs/>
          <w:color w:val="244061" w:themeColor="accent1" w:themeShade="80"/>
          <w:sz w:val="20"/>
        </w:rPr>
        <w:t xml:space="preserve"> </w:t>
      </w:r>
      <w:r w:rsidR="008F09DA" w:rsidRPr="008F09DA">
        <w:rPr>
          <w:bCs/>
          <w:color w:val="244061" w:themeColor="accent1" w:themeShade="80"/>
          <w:sz w:val="20"/>
        </w:rPr>
        <w:t>s prosjekom od 15,7 milijuna kuna po zaposlenom</w:t>
      </w:r>
      <w:r w:rsidR="008F09DA">
        <w:rPr>
          <w:bCs/>
          <w:color w:val="244061" w:themeColor="accent1" w:themeShade="80"/>
          <w:sz w:val="20"/>
        </w:rPr>
        <w:t>.</w:t>
      </w:r>
      <w:r w:rsidR="008F09DA" w:rsidRPr="008F09DA">
        <w:t xml:space="preserve"> </w:t>
      </w:r>
      <w:r w:rsidR="008F09DA" w:rsidRPr="008F09DA">
        <w:rPr>
          <w:bCs/>
          <w:color w:val="244061" w:themeColor="accent1" w:themeShade="80"/>
          <w:sz w:val="20"/>
        </w:rPr>
        <w:t>Pretežita djelatnost društva</w:t>
      </w:r>
      <w:r w:rsidR="00B27E68">
        <w:rPr>
          <w:bCs/>
          <w:color w:val="244061" w:themeColor="accent1" w:themeShade="80"/>
          <w:sz w:val="20"/>
        </w:rPr>
        <w:t>,</w:t>
      </w:r>
      <w:r w:rsidR="008F09DA" w:rsidRPr="008F09DA">
        <w:rPr>
          <w:bCs/>
          <w:color w:val="244061" w:themeColor="accent1" w:themeShade="80"/>
          <w:sz w:val="20"/>
        </w:rPr>
        <w:t xml:space="preserve"> prema NKD</w:t>
      </w:r>
      <w:r w:rsidR="00B27E68">
        <w:rPr>
          <w:bCs/>
          <w:color w:val="244061" w:themeColor="accent1" w:themeShade="80"/>
          <w:sz w:val="20"/>
        </w:rPr>
        <w:t>-u</w:t>
      </w:r>
      <w:r w:rsidR="008F09DA" w:rsidRPr="008F09DA">
        <w:rPr>
          <w:bCs/>
          <w:color w:val="244061" w:themeColor="accent1" w:themeShade="80"/>
          <w:sz w:val="20"/>
        </w:rPr>
        <w:t xml:space="preserve"> 2007 je</w:t>
      </w:r>
      <w:r w:rsidR="00906215">
        <w:rPr>
          <w:bCs/>
          <w:color w:val="244061" w:themeColor="accent1" w:themeShade="80"/>
          <w:sz w:val="20"/>
        </w:rPr>
        <w:t xml:space="preserve"> </w:t>
      </w:r>
      <w:r w:rsidR="00906215" w:rsidRPr="00906215">
        <w:rPr>
          <w:bCs/>
          <w:color w:val="244061" w:themeColor="accent1" w:themeShade="80"/>
          <w:sz w:val="20"/>
        </w:rPr>
        <w:t xml:space="preserve">46.71 </w:t>
      </w:r>
      <w:r w:rsidR="00B27E68">
        <w:rPr>
          <w:bCs/>
          <w:color w:val="244061" w:themeColor="accent1" w:themeShade="80"/>
          <w:sz w:val="20"/>
        </w:rPr>
        <w:t xml:space="preserve">- </w:t>
      </w:r>
      <w:r w:rsidR="00906215" w:rsidRPr="00906215">
        <w:rPr>
          <w:bCs/>
          <w:color w:val="244061" w:themeColor="accent1" w:themeShade="80"/>
          <w:sz w:val="20"/>
        </w:rPr>
        <w:t>Trgovina na veliko krutim, tekućim i plinovitim gorivima i srodnim proizvodima</w:t>
      </w:r>
      <w:r w:rsidR="008F09DA">
        <w:rPr>
          <w:bCs/>
          <w:color w:val="244061" w:themeColor="accent1" w:themeShade="80"/>
          <w:sz w:val="20"/>
        </w:rPr>
        <w:t xml:space="preserve">, ima 2 zaposlena </w:t>
      </w:r>
      <w:r w:rsidR="008F09DA" w:rsidRPr="008F09DA">
        <w:rPr>
          <w:bCs/>
          <w:color w:val="244061" w:themeColor="accent1" w:themeShade="80"/>
          <w:sz w:val="20"/>
        </w:rPr>
        <w:t>čija je prosječna mjesečna neto plaća</w:t>
      </w:r>
      <w:r w:rsidR="008F09DA">
        <w:rPr>
          <w:bCs/>
          <w:color w:val="244061" w:themeColor="accent1" w:themeShade="80"/>
          <w:sz w:val="20"/>
        </w:rPr>
        <w:t xml:space="preserve"> </w:t>
      </w:r>
      <w:r w:rsidR="008F09DA" w:rsidRPr="008F09DA">
        <w:rPr>
          <w:bCs/>
          <w:color w:val="244061" w:themeColor="accent1" w:themeShade="80"/>
          <w:sz w:val="20"/>
        </w:rPr>
        <w:t>9.922</w:t>
      </w:r>
      <w:r w:rsidR="008F09DA">
        <w:rPr>
          <w:bCs/>
          <w:color w:val="244061" w:themeColor="accent1" w:themeShade="80"/>
          <w:sz w:val="20"/>
        </w:rPr>
        <w:t xml:space="preserve"> </w:t>
      </w:r>
      <w:r w:rsidR="00BB1397">
        <w:rPr>
          <w:bCs/>
          <w:color w:val="244061" w:themeColor="accent1" w:themeShade="80"/>
          <w:sz w:val="20"/>
        </w:rPr>
        <w:t>kune</w:t>
      </w:r>
      <w:r w:rsidR="00B27E68">
        <w:rPr>
          <w:bCs/>
          <w:color w:val="244061" w:themeColor="accent1" w:themeShade="80"/>
          <w:sz w:val="20"/>
        </w:rPr>
        <w:t>.</w:t>
      </w:r>
      <w:r w:rsidR="008F09DA" w:rsidRPr="008F09DA">
        <w:rPr>
          <w:rStyle w:val="cat-var-name1"/>
          <w:rFonts w:cs="Arial"/>
          <w:color w:val="222222"/>
          <w:szCs w:val="22"/>
        </w:rPr>
        <w:t xml:space="preserve"> </w:t>
      </w:r>
    </w:p>
    <w:p w:rsidR="00E65163" w:rsidRPr="00547762" w:rsidRDefault="00E65163" w:rsidP="00932C8E">
      <w:pPr>
        <w:widowControl w:val="0"/>
        <w:spacing w:before="120"/>
        <w:jc w:val="both"/>
        <w:rPr>
          <w:bCs/>
          <w:color w:val="244061" w:themeColor="accent1" w:themeShade="80"/>
          <w:sz w:val="20"/>
        </w:rPr>
      </w:pPr>
      <w:r w:rsidRPr="00547762">
        <w:rPr>
          <w:bCs/>
          <w:color w:val="244061" w:themeColor="accent1" w:themeShade="80"/>
          <w:sz w:val="20"/>
        </w:rPr>
        <w:t xml:space="preserve">Slijede poduzetnici </w:t>
      </w:r>
      <w:r w:rsidR="00B27E68">
        <w:rPr>
          <w:bCs/>
          <w:color w:val="244061" w:themeColor="accent1" w:themeShade="80"/>
          <w:sz w:val="20"/>
        </w:rPr>
        <w:t xml:space="preserve">sa sjedištem u </w:t>
      </w:r>
      <w:r w:rsidRPr="00547762">
        <w:rPr>
          <w:bCs/>
          <w:color w:val="244061" w:themeColor="accent1" w:themeShade="80"/>
          <w:sz w:val="20"/>
        </w:rPr>
        <w:t>Rije</w:t>
      </w:r>
      <w:r w:rsidR="00B27E68">
        <w:rPr>
          <w:bCs/>
          <w:color w:val="244061" w:themeColor="accent1" w:themeShade="80"/>
          <w:sz w:val="20"/>
        </w:rPr>
        <w:t>ci,</w:t>
      </w:r>
      <w:r w:rsidRPr="00547762">
        <w:rPr>
          <w:bCs/>
          <w:color w:val="244061" w:themeColor="accent1" w:themeShade="80"/>
          <w:sz w:val="20"/>
        </w:rPr>
        <w:t xml:space="preserve"> s</w:t>
      </w:r>
      <w:r>
        <w:rPr>
          <w:bCs/>
          <w:color w:val="244061" w:themeColor="accent1" w:themeShade="80"/>
          <w:sz w:val="20"/>
        </w:rPr>
        <w:t>a</w:t>
      </w:r>
      <w:r w:rsidRPr="00547762">
        <w:rPr>
          <w:bCs/>
          <w:color w:val="244061" w:themeColor="accent1" w:themeShade="80"/>
          <w:sz w:val="20"/>
        </w:rPr>
        <w:t xml:space="preserve"> 6</w:t>
      </w:r>
      <w:r w:rsidR="002A31D4">
        <w:rPr>
          <w:bCs/>
          <w:color w:val="244061" w:themeColor="accent1" w:themeShade="80"/>
          <w:sz w:val="20"/>
        </w:rPr>
        <w:t>23</w:t>
      </w:r>
      <w:r w:rsidRPr="00547762">
        <w:rPr>
          <w:bCs/>
          <w:color w:val="244061" w:themeColor="accent1" w:themeShade="80"/>
          <w:sz w:val="20"/>
        </w:rPr>
        <w:t xml:space="preserve"> </w:t>
      </w:r>
      <w:r>
        <w:rPr>
          <w:bCs/>
          <w:color w:val="244061" w:themeColor="accent1" w:themeShade="80"/>
          <w:sz w:val="20"/>
        </w:rPr>
        <w:t>tisuće</w:t>
      </w:r>
      <w:r w:rsidRPr="00547762">
        <w:rPr>
          <w:bCs/>
          <w:color w:val="244061" w:themeColor="accent1" w:themeShade="80"/>
          <w:sz w:val="20"/>
        </w:rPr>
        <w:t xml:space="preserve"> kuna te poduzetnici </w:t>
      </w:r>
      <w:r w:rsidR="00B27E68">
        <w:rPr>
          <w:bCs/>
          <w:color w:val="244061" w:themeColor="accent1" w:themeShade="80"/>
          <w:sz w:val="20"/>
        </w:rPr>
        <w:t xml:space="preserve">sa sjedištem u </w:t>
      </w:r>
      <w:r w:rsidRPr="00547762">
        <w:rPr>
          <w:bCs/>
          <w:color w:val="244061" w:themeColor="accent1" w:themeShade="80"/>
          <w:sz w:val="20"/>
        </w:rPr>
        <w:t>Opatij</w:t>
      </w:r>
      <w:r w:rsidR="00152A99">
        <w:rPr>
          <w:bCs/>
          <w:color w:val="244061" w:themeColor="accent1" w:themeShade="80"/>
          <w:sz w:val="20"/>
        </w:rPr>
        <w:t>i</w:t>
      </w:r>
      <w:r w:rsidRPr="00547762">
        <w:rPr>
          <w:bCs/>
          <w:color w:val="244061" w:themeColor="accent1" w:themeShade="80"/>
          <w:sz w:val="20"/>
        </w:rPr>
        <w:t xml:space="preserve"> s</w:t>
      </w:r>
      <w:r w:rsidR="00152A99">
        <w:rPr>
          <w:bCs/>
          <w:color w:val="244061" w:themeColor="accent1" w:themeShade="80"/>
          <w:sz w:val="20"/>
        </w:rPr>
        <w:t>a</w:t>
      </w:r>
      <w:r w:rsidRPr="00547762">
        <w:rPr>
          <w:bCs/>
          <w:color w:val="244061" w:themeColor="accent1" w:themeShade="80"/>
          <w:sz w:val="20"/>
        </w:rPr>
        <w:t xml:space="preserve"> 5</w:t>
      </w:r>
      <w:r w:rsidR="002A31D4">
        <w:rPr>
          <w:bCs/>
          <w:color w:val="244061" w:themeColor="accent1" w:themeShade="80"/>
          <w:sz w:val="20"/>
        </w:rPr>
        <w:t>99</w:t>
      </w:r>
      <w:r w:rsidRPr="00547762">
        <w:rPr>
          <w:bCs/>
          <w:color w:val="244061" w:themeColor="accent1" w:themeShade="80"/>
          <w:sz w:val="20"/>
        </w:rPr>
        <w:t xml:space="preserve"> </w:t>
      </w:r>
      <w:r>
        <w:rPr>
          <w:bCs/>
          <w:color w:val="244061" w:themeColor="accent1" w:themeShade="80"/>
          <w:sz w:val="20"/>
        </w:rPr>
        <w:t>tisuć</w:t>
      </w:r>
      <w:r w:rsidR="00152A99">
        <w:rPr>
          <w:bCs/>
          <w:color w:val="244061" w:themeColor="accent1" w:themeShade="80"/>
          <w:sz w:val="20"/>
        </w:rPr>
        <w:t>a</w:t>
      </w:r>
      <w:r>
        <w:rPr>
          <w:bCs/>
          <w:color w:val="244061" w:themeColor="accent1" w:themeShade="80"/>
          <w:sz w:val="20"/>
        </w:rPr>
        <w:t xml:space="preserve"> </w:t>
      </w:r>
      <w:r w:rsidRPr="00547762">
        <w:rPr>
          <w:bCs/>
          <w:color w:val="244061" w:themeColor="accent1" w:themeShade="80"/>
          <w:sz w:val="20"/>
        </w:rPr>
        <w:t xml:space="preserve">kuna </w:t>
      </w:r>
      <w:r>
        <w:rPr>
          <w:bCs/>
          <w:color w:val="244061" w:themeColor="accent1" w:themeShade="80"/>
          <w:sz w:val="20"/>
        </w:rPr>
        <w:t xml:space="preserve">prihoda </w:t>
      </w:r>
      <w:r w:rsidRPr="00547762">
        <w:rPr>
          <w:bCs/>
          <w:color w:val="244061" w:themeColor="accent1" w:themeShade="80"/>
          <w:sz w:val="20"/>
        </w:rPr>
        <w:t>po zaposlenom.</w:t>
      </w:r>
      <w:r w:rsidR="00313E09" w:rsidRPr="00184040">
        <w:rPr>
          <w:sz w:val="20"/>
        </w:rPr>
        <w:t xml:space="preserve"> </w:t>
      </w:r>
      <w:r w:rsidR="00313E09" w:rsidRPr="00313E09">
        <w:rPr>
          <w:bCs/>
          <w:color w:val="244061" w:themeColor="accent1" w:themeShade="80"/>
          <w:sz w:val="20"/>
        </w:rPr>
        <w:t xml:space="preserve">Za usporedbu, produktivnost poduzetnika na razini </w:t>
      </w:r>
      <w:r w:rsidR="00DA5BBA">
        <w:rPr>
          <w:bCs/>
          <w:color w:val="244061" w:themeColor="accent1" w:themeShade="80"/>
          <w:sz w:val="20"/>
        </w:rPr>
        <w:t xml:space="preserve">Primorsko-goranske županije </w:t>
      </w:r>
      <w:r w:rsidR="00DA5BBA" w:rsidRPr="00DA5BBA">
        <w:rPr>
          <w:bCs/>
          <w:color w:val="244061" w:themeColor="accent1" w:themeShade="80"/>
          <w:sz w:val="20"/>
        </w:rPr>
        <w:t>iznosila je</w:t>
      </w:r>
      <w:r w:rsidR="00DA5BBA">
        <w:rPr>
          <w:bCs/>
          <w:color w:val="244061" w:themeColor="accent1" w:themeShade="80"/>
          <w:sz w:val="20"/>
        </w:rPr>
        <w:t xml:space="preserve"> 581 tisuću kuna, a na razini </w:t>
      </w:r>
      <w:r w:rsidR="00313E09" w:rsidRPr="00313E09">
        <w:rPr>
          <w:bCs/>
          <w:color w:val="244061" w:themeColor="accent1" w:themeShade="80"/>
          <w:sz w:val="20"/>
        </w:rPr>
        <w:t xml:space="preserve">RH </w:t>
      </w:r>
      <w:r w:rsidR="002A31D4">
        <w:rPr>
          <w:bCs/>
          <w:color w:val="244061" w:themeColor="accent1" w:themeShade="80"/>
          <w:sz w:val="20"/>
        </w:rPr>
        <w:t>742</w:t>
      </w:r>
      <w:r w:rsidR="00313E09" w:rsidRPr="00313E09">
        <w:rPr>
          <w:bCs/>
          <w:color w:val="244061" w:themeColor="accent1" w:themeShade="80"/>
          <w:sz w:val="20"/>
        </w:rPr>
        <w:t xml:space="preserve"> tisuća kuna prihoda po zaposlenom.</w:t>
      </w:r>
    </w:p>
    <w:p w:rsidR="00E65163" w:rsidRPr="00E26D38" w:rsidRDefault="00E65163" w:rsidP="00167A79">
      <w:pPr>
        <w:widowControl w:val="0"/>
        <w:tabs>
          <w:tab w:val="left" w:pos="1134"/>
        </w:tabs>
        <w:spacing w:before="180" w:after="0" w:line="240" w:lineRule="auto"/>
        <w:rPr>
          <w:rFonts w:cs="Arial"/>
          <w:b/>
          <w:color w:val="244061"/>
          <w:sz w:val="18"/>
          <w:szCs w:val="18"/>
        </w:rPr>
      </w:pPr>
      <w:r w:rsidRPr="00E26D38">
        <w:rPr>
          <w:rFonts w:eastAsia="Calibri" w:cs="Arial"/>
          <w:b/>
          <w:color w:val="17365D"/>
          <w:sz w:val="18"/>
          <w:szCs w:val="18"/>
          <w:lang w:eastAsia="en-US"/>
        </w:rPr>
        <w:t xml:space="preserve">Grafikon </w:t>
      </w:r>
      <w:r w:rsidR="004327E0" w:rsidRPr="00E26D38">
        <w:rPr>
          <w:rFonts w:eastAsia="Calibri" w:cs="Arial"/>
          <w:b/>
          <w:color w:val="17365D"/>
          <w:sz w:val="18"/>
          <w:szCs w:val="18"/>
          <w:lang w:eastAsia="en-US"/>
        </w:rPr>
        <w:t>2</w:t>
      </w:r>
      <w:r w:rsidRPr="00E26D38">
        <w:rPr>
          <w:rFonts w:eastAsia="Calibri" w:cs="Arial"/>
          <w:b/>
          <w:color w:val="17365D"/>
          <w:sz w:val="18"/>
          <w:szCs w:val="18"/>
          <w:lang w:eastAsia="en-US"/>
        </w:rPr>
        <w:t>.</w:t>
      </w:r>
      <w:r w:rsidRPr="00E26D38">
        <w:rPr>
          <w:rFonts w:cs="Arial"/>
          <w:b/>
          <w:color w:val="244061"/>
          <w:sz w:val="18"/>
          <w:szCs w:val="18"/>
        </w:rPr>
        <w:tab/>
        <w:t>Prihod po zaposlenom u 201</w:t>
      </w:r>
      <w:r w:rsidR="002A31D4" w:rsidRPr="00E26D38">
        <w:rPr>
          <w:rFonts w:cs="Arial"/>
          <w:b/>
          <w:color w:val="244061"/>
          <w:sz w:val="18"/>
          <w:szCs w:val="18"/>
        </w:rPr>
        <w:t>6</w:t>
      </w:r>
      <w:r w:rsidRPr="00E26D38">
        <w:rPr>
          <w:rFonts w:cs="Arial"/>
          <w:b/>
          <w:color w:val="244061"/>
          <w:sz w:val="18"/>
          <w:szCs w:val="18"/>
        </w:rPr>
        <w:t>. godini na razini gradova/općina Urbane aglomeracije Rijeka</w:t>
      </w:r>
    </w:p>
    <w:p w:rsidR="00E65163" w:rsidRPr="00A77A2F" w:rsidRDefault="00E65163" w:rsidP="003413A8">
      <w:pPr>
        <w:tabs>
          <w:tab w:val="left" w:pos="1134"/>
        </w:tabs>
        <w:spacing w:after="60" w:line="240" w:lineRule="auto"/>
        <w:ind w:right="539"/>
        <w:jc w:val="right"/>
        <w:rPr>
          <w:rFonts w:cs="Arial"/>
          <w:color w:val="17365D"/>
          <w:sz w:val="16"/>
          <w:szCs w:val="16"/>
        </w:rPr>
      </w:pPr>
      <w:r w:rsidRPr="00A77A2F">
        <w:rPr>
          <w:rFonts w:cs="Arial"/>
          <w:color w:val="244061"/>
          <w:sz w:val="18"/>
          <w:szCs w:val="18"/>
        </w:rPr>
        <w:tab/>
      </w:r>
      <w:r w:rsidRPr="00A77A2F">
        <w:rPr>
          <w:rFonts w:cs="Arial"/>
          <w:color w:val="244061"/>
          <w:sz w:val="16"/>
          <w:szCs w:val="16"/>
        </w:rPr>
        <w:t xml:space="preserve">(iznosi u tisućama </w:t>
      </w:r>
      <w:r w:rsidRPr="00A77A2F">
        <w:rPr>
          <w:rFonts w:cs="Arial"/>
          <w:color w:val="17365D"/>
          <w:sz w:val="16"/>
          <w:szCs w:val="16"/>
        </w:rPr>
        <w:t>kuna)</w:t>
      </w:r>
    </w:p>
    <w:p w:rsidR="00E65163" w:rsidRPr="00A77A2F" w:rsidRDefault="002A31D4" w:rsidP="00167A79">
      <w:pPr>
        <w:widowControl w:val="0"/>
        <w:spacing w:after="0" w:line="240" w:lineRule="auto"/>
        <w:rPr>
          <w:rFonts w:cs="Arial"/>
          <w:color w:val="17365D"/>
          <w:sz w:val="18"/>
          <w:szCs w:val="18"/>
        </w:rPr>
      </w:pPr>
      <w:r>
        <w:rPr>
          <w:rFonts w:cs="Arial"/>
          <w:noProof/>
          <w:color w:val="17365D"/>
          <w:sz w:val="18"/>
          <w:szCs w:val="18"/>
        </w:rPr>
        <w:drawing>
          <wp:inline distT="0" distB="0" distL="0" distR="0" wp14:anchorId="2927C83A">
            <wp:extent cx="5796000" cy="2592000"/>
            <wp:effectExtent l="0" t="0" r="0" b="0"/>
            <wp:docPr id="6" name="Slika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6000" cy="2592000"/>
                    </a:xfrm>
                    <a:prstGeom prst="rect">
                      <a:avLst/>
                    </a:prstGeom>
                    <a:noFill/>
                  </pic:spPr>
                </pic:pic>
              </a:graphicData>
            </a:graphic>
          </wp:inline>
        </w:drawing>
      </w:r>
    </w:p>
    <w:p w:rsidR="00E65163" w:rsidRPr="00E030D7" w:rsidRDefault="00E65163" w:rsidP="00167A79">
      <w:pPr>
        <w:spacing w:before="60" w:after="0" w:line="240" w:lineRule="auto"/>
        <w:rPr>
          <w:rFonts w:eastAsia="Calibri" w:cs="Arial"/>
          <w:b/>
          <w:color w:val="244061"/>
          <w:sz w:val="16"/>
          <w:szCs w:val="16"/>
          <w:lang w:eastAsia="en-US"/>
        </w:rPr>
      </w:pPr>
      <w:r w:rsidRPr="00E030D7">
        <w:rPr>
          <w:bCs/>
          <w:i/>
          <w:color w:val="244061"/>
          <w:sz w:val="16"/>
          <w:szCs w:val="16"/>
        </w:rPr>
        <w:t>Izvor: Fina, Registar godišnjih financijskih izvještaja</w:t>
      </w:r>
    </w:p>
    <w:p w:rsidR="003413A8" w:rsidRDefault="00E65163" w:rsidP="00167A79">
      <w:pPr>
        <w:widowControl w:val="0"/>
        <w:spacing w:before="180" w:after="0"/>
        <w:jc w:val="both"/>
        <w:rPr>
          <w:bCs/>
          <w:color w:val="244061" w:themeColor="accent1" w:themeShade="80"/>
          <w:sz w:val="20"/>
        </w:rPr>
      </w:pPr>
      <w:r w:rsidRPr="00547762">
        <w:rPr>
          <w:bCs/>
          <w:color w:val="244061" w:themeColor="accent1" w:themeShade="80"/>
          <w:sz w:val="20"/>
        </w:rPr>
        <w:t xml:space="preserve">Prosječna mjesečna neto plaća obračunata </w:t>
      </w:r>
      <w:r w:rsidR="00167A79">
        <w:rPr>
          <w:bCs/>
          <w:color w:val="244061" w:themeColor="accent1" w:themeShade="80"/>
          <w:sz w:val="20"/>
        </w:rPr>
        <w:t xml:space="preserve">zaposlenima </w:t>
      </w:r>
      <w:r w:rsidRPr="00547762">
        <w:rPr>
          <w:bCs/>
          <w:color w:val="244061" w:themeColor="accent1" w:themeShade="80"/>
          <w:sz w:val="20"/>
        </w:rPr>
        <w:t xml:space="preserve">kod poduzetnika </w:t>
      </w:r>
      <w:r w:rsidR="00167A79">
        <w:rPr>
          <w:bCs/>
          <w:color w:val="244061" w:themeColor="accent1" w:themeShade="80"/>
          <w:sz w:val="20"/>
        </w:rPr>
        <w:t xml:space="preserve">sa sjedištem na području </w:t>
      </w:r>
      <w:r w:rsidRPr="00547762">
        <w:rPr>
          <w:bCs/>
          <w:color w:val="244061" w:themeColor="accent1" w:themeShade="80"/>
          <w:sz w:val="20"/>
        </w:rPr>
        <w:t>Urbane aglomeracije Rijeke u 201</w:t>
      </w:r>
      <w:r w:rsidR="00161CA1">
        <w:rPr>
          <w:bCs/>
          <w:color w:val="244061" w:themeColor="accent1" w:themeShade="80"/>
          <w:sz w:val="20"/>
        </w:rPr>
        <w:t>6</w:t>
      </w:r>
      <w:r w:rsidRPr="00547762">
        <w:rPr>
          <w:bCs/>
          <w:color w:val="244061" w:themeColor="accent1" w:themeShade="80"/>
          <w:sz w:val="20"/>
        </w:rPr>
        <w:t xml:space="preserve">. godini iznosila je </w:t>
      </w:r>
      <w:r w:rsidR="00161CA1">
        <w:rPr>
          <w:bCs/>
          <w:color w:val="244061" w:themeColor="accent1" w:themeShade="80"/>
          <w:sz w:val="20"/>
        </w:rPr>
        <w:t>5.</w:t>
      </w:r>
      <w:r w:rsidR="0068047C">
        <w:rPr>
          <w:bCs/>
          <w:color w:val="244061" w:themeColor="accent1" w:themeShade="80"/>
          <w:sz w:val="20"/>
        </w:rPr>
        <w:t>158</w:t>
      </w:r>
      <w:r w:rsidRPr="00547762">
        <w:rPr>
          <w:bCs/>
          <w:color w:val="244061" w:themeColor="accent1" w:themeShade="80"/>
          <w:sz w:val="20"/>
        </w:rPr>
        <w:t xml:space="preserve"> kuna, odnosno </w:t>
      </w:r>
      <w:r w:rsidR="0068047C">
        <w:rPr>
          <w:bCs/>
          <w:color w:val="244061" w:themeColor="accent1" w:themeShade="80"/>
          <w:sz w:val="20"/>
        </w:rPr>
        <w:t>2,0</w:t>
      </w:r>
      <w:r w:rsidR="000E56E2">
        <w:rPr>
          <w:bCs/>
          <w:color w:val="244061" w:themeColor="accent1" w:themeShade="80"/>
          <w:sz w:val="20"/>
        </w:rPr>
        <w:t xml:space="preserve"> </w:t>
      </w:r>
      <w:r w:rsidRPr="00547762">
        <w:rPr>
          <w:bCs/>
          <w:color w:val="244061" w:themeColor="accent1" w:themeShade="80"/>
          <w:sz w:val="20"/>
        </w:rPr>
        <w:t>% više u odnosu na prethodnu godinu</w:t>
      </w:r>
      <w:r w:rsidR="003413A8">
        <w:rPr>
          <w:bCs/>
          <w:color w:val="244061" w:themeColor="accent1" w:themeShade="80"/>
          <w:sz w:val="20"/>
        </w:rPr>
        <w:t xml:space="preserve"> (5.058 kuna),</w:t>
      </w:r>
      <w:r w:rsidRPr="00547762">
        <w:rPr>
          <w:bCs/>
          <w:color w:val="244061" w:themeColor="accent1" w:themeShade="80"/>
          <w:sz w:val="20"/>
        </w:rPr>
        <w:t xml:space="preserve"> te </w:t>
      </w:r>
      <w:r w:rsidR="0068047C">
        <w:rPr>
          <w:bCs/>
          <w:color w:val="244061" w:themeColor="accent1" w:themeShade="80"/>
          <w:sz w:val="20"/>
        </w:rPr>
        <w:t>2,5</w:t>
      </w:r>
      <w:r w:rsidR="000E56E2">
        <w:rPr>
          <w:bCs/>
          <w:color w:val="244061" w:themeColor="accent1" w:themeShade="80"/>
          <w:sz w:val="20"/>
        </w:rPr>
        <w:t xml:space="preserve"> </w:t>
      </w:r>
      <w:r w:rsidRPr="00547762">
        <w:rPr>
          <w:bCs/>
          <w:color w:val="244061" w:themeColor="accent1" w:themeShade="80"/>
          <w:sz w:val="20"/>
        </w:rPr>
        <w:t xml:space="preserve">% </w:t>
      </w:r>
      <w:r w:rsidR="00161CA1">
        <w:rPr>
          <w:bCs/>
          <w:color w:val="244061" w:themeColor="accent1" w:themeShade="80"/>
          <w:sz w:val="20"/>
        </w:rPr>
        <w:t>više</w:t>
      </w:r>
      <w:r w:rsidRPr="00547762">
        <w:rPr>
          <w:bCs/>
          <w:color w:val="244061" w:themeColor="accent1" w:themeShade="80"/>
          <w:sz w:val="20"/>
        </w:rPr>
        <w:t xml:space="preserve"> od iznosa prosječne mjesečne neto plaće </w:t>
      </w:r>
      <w:r w:rsidR="00152A99">
        <w:rPr>
          <w:bCs/>
          <w:color w:val="244061" w:themeColor="accent1" w:themeShade="80"/>
          <w:sz w:val="20"/>
        </w:rPr>
        <w:t xml:space="preserve">koja je obračunana zaposlenima </w:t>
      </w:r>
      <w:r w:rsidR="00BB1397">
        <w:rPr>
          <w:bCs/>
          <w:color w:val="244061" w:themeColor="accent1" w:themeShade="80"/>
          <w:sz w:val="20"/>
        </w:rPr>
        <w:t xml:space="preserve">kod </w:t>
      </w:r>
      <w:r w:rsidRPr="00547762">
        <w:rPr>
          <w:bCs/>
          <w:color w:val="244061" w:themeColor="accent1" w:themeShade="80"/>
          <w:sz w:val="20"/>
        </w:rPr>
        <w:t xml:space="preserve">poduzetnika </w:t>
      </w:r>
      <w:r w:rsidR="00152A99">
        <w:rPr>
          <w:bCs/>
          <w:color w:val="244061" w:themeColor="accent1" w:themeShade="80"/>
          <w:sz w:val="20"/>
        </w:rPr>
        <w:t>sa sjedištem u</w:t>
      </w:r>
      <w:r w:rsidRPr="00547762">
        <w:rPr>
          <w:bCs/>
          <w:color w:val="244061" w:themeColor="accent1" w:themeShade="80"/>
          <w:sz w:val="20"/>
        </w:rPr>
        <w:t xml:space="preserve"> Primorsko-goranskoj županiji (</w:t>
      </w:r>
      <w:r w:rsidR="00161CA1">
        <w:rPr>
          <w:bCs/>
          <w:color w:val="244061" w:themeColor="accent1" w:themeShade="80"/>
          <w:sz w:val="20"/>
        </w:rPr>
        <w:t>5.032</w:t>
      </w:r>
      <w:r w:rsidRPr="00547762">
        <w:rPr>
          <w:bCs/>
          <w:color w:val="244061" w:themeColor="accent1" w:themeShade="80"/>
          <w:sz w:val="20"/>
        </w:rPr>
        <w:t xml:space="preserve"> kun</w:t>
      </w:r>
      <w:r w:rsidR="00BB1397">
        <w:rPr>
          <w:bCs/>
          <w:color w:val="244061" w:themeColor="accent1" w:themeShade="80"/>
          <w:sz w:val="20"/>
        </w:rPr>
        <w:t>e</w:t>
      </w:r>
      <w:r w:rsidRPr="00547762">
        <w:rPr>
          <w:bCs/>
          <w:color w:val="244061" w:themeColor="accent1" w:themeShade="80"/>
          <w:sz w:val="20"/>
        </w:rPr>
        <w:t xml:space="preserve">). </w:t>
      </w:r>
    </w:p>
    <w:p w:rsidR="00E65163" w:rsidRDefault="00E65163" w:rsidP="00932C8E">
      <w:pPr>
        <w:widowControl w:val="0"/>
        <w:spacing w:before="120" w:after="120"/>
        <w:jc w:val="both"/>
        <w:rPr>
          <w:bCs/>
          <w:color w:val="244061" w:themeColor="accent1" w:themeShade="80"/>
          <w:sz w:val="20"/>
        </w:rPr>
      </w:pPr>
      <w:r w:rsidRPr="00547762">
        <w:rPr>
          <w:bCs/>
          <w:color w:val="244061" w:themeColor="accent1" w:themeShade="80"/>
          <w:sz w:val="20"/>
        </w:rPr>
        <w:t>Najv</w:t>
      </w:r>
      <w:r w:rsidR="000B4C65">
        <w:rPr>
          <w:bCs/>
          <w:color w:val="244061" w:themeColor="accent1" w:themeShade="80"/>
          <w:sz w:val="20"/>
        </w:rPr>
        <w:t>iša</w:t>
      </w:r>
      <w:r w:rsidRPr="00547762">
        <w:rPr>
          <w:bCs/>
          <w:color w:val="244061" w:themeColor="accent1" w:themeShade="80"/>
          <w:sz w:val="20"/>
        </w:rPr>
        <w:t xml:space="preserve"> prosječna mjesečna neto plaća obračunata je </w:t>
      </w:r>
      <w:r w:rsidR="00167A79">
        <w:rPr>
          <w:bCs/>
          <w:color w:val="244061" w:themeColor="accent1" w:themeShade="80"/>
          <w:sz w:val="20"/>
        </w:rPr>
        <w:t xml:space="preserve">zaposlenima </w:t>
      </w:r>
      <w:r w:rsidRPr="00547762">
        <w:rPr>
          <w:bCs/>
          <w:color w:val="244061" w:themeColor="accent1" w:themeShade="80"/>
          <w:sz w:val="20"/>
        </w:rPr>
        <w:t xml:space="preserve">kod poduzetnika </w:t>
      </w:r>
      <w:r w:rsidR="00152A99">
        <w:rPr>
          <w:bCs/>
          <w:color w:val="244061" w:themeColor="accent1" w:themeShade="80"/>
          <w:sz w:val="20"/>
        </w:rPr>
        <w:t>sa sjedištem u</w:t>
      </w:r>
      <w:r w:rsidRPr="00547762">
        <w:rPr>
          <w:bCs/>
          <w:color w:val="244061" w:themeColor="accent1" w:themeShade="80"/>
          <w:sz w:val="20"/>
        </w:rPr>
        <w:t xml:space="preserve"> </w:t>
      </w:r>
      <w:r w:rsidR="00161CA1">
        <w:rPr>
          <w:bCs/>
          <w:color w:val="244061" w:themeColor="accent1" w:themeShade="80"/>
          <w:sz w:val="20"/>
        </w:rPr>
        <w:t>Rijeci</w:t>
      </w:r>
      <w:r w:rsidRPr="00547762">
        <w:rPr>
          <w:bCs/>
          <w:color w:val="244061" w:themeColor="accent1" w:themeShade="80"/>
          <w:sz w:val="20"/>
        </w:rPr>
        <w:t xml:space="preserve"> (5.</w:t>
      </w:r>
      <w:r w:rsidR="00161CA1">
        <w:rPr>
          <w:bCs/>
          <w:color w:val="244061" w:themeColor="accent1" w:themeShade="80"/>
          <w:sz w:val="20"/>
        </w:rPr>
        <w:t>368</w:t>
      </w:r>
      <w:r w:rsidRPr="00547762">
        <w:rPr>
          <w:bCs/>
          <w:color w:val="244061" w:themeColor="accent1" w:themeShade="80"/>
          <w:sz w:val="20"/>
        </w:rPr>
        <w:t xml:space="preserve"> kuna), a slijede poduzetnici u </w:t>
      </w:r>
      <w:r w:rsidR="00161CA1">
        <w:rPr>
          <w:bCs/>
          <w:color w:val="244061" w:themeColor="accent1" w:themeShade="80"/>
          <w:sz w:val="20"/>
        </w:rPr>
        <w:t>Opatiji</w:t>
      </w:r>
      <w:r w:rsidRPr="00547762">
        <w:rPr>
          <w:bCs/>
          <w:color w:val="244061" w:themeColor="accent1" w:themeShade="80"/>
          <w:sz w:val="20"/>
        </w:rPr>
        <w:t xml:space="preserve"> (</w:t>
      </w:r>
      <w:r w:rsidR="00161CA1">
        <w:rPr>
          <w:bCs/>
          <w:color w:val="244061" w:themeColor="accent1" w:themeShade="80"/>
          <w:sz w:val="20"/>
        </w:rPr>
        <w:t>5</w:t>
      </w:r>
      <w:r w:rsidRPr="00547762">
        <w:rPr>
          <w:bCs/>
          <w:color w:val="244061" w:themeColor="accent1" w:themeShade="80"/>
          <w:sz w:val="20"/>
        </w:rPr>
        <w:t>.</w:t>
      </w:r>
      <w:r w:rsidR="00161CA1">
        <w:rPr>
          <w:bCs/>
          <w:color w:val="244061" w:themeColor="accent1" w:themeShade="80"/>
          <w:sz w:val="20"/>
        </w:rPr>
        <w:t>148</w:t>
      </w:r>
      <w:r w:rsidRPr="00547762">
        <w:rPr>
          <w:bCs/>
          <w:color w:val="244061" w:themeColor="accent1" w:themeShade="80"/>
          <w:sz w:val="20"/>
        </w:rPr>
        <w:t xml:space="preserve"> kuna), Kastvu (4.</w:t>
      </w:r>
      <w:r w:rsidR="00161CA1">
        <w:rPr>
          <w:bCs/>
          <w:color w:val="244061" w:themeColor="accent1" w:themeShade="80"/>
          <w:sz w:val="20"/>
        </w:rPr>
        <w:t>832</w:t>
      </w:r>
      <w:r w:rsidRPr="00547762">
        <w:rPr>
          <w:bCs/>
          <w:color w:val="244061" w:themeColor="accent1" w:themeShade="80"/>
          <w:sz w:val="20"/>
        </w:rPr>
        <w:t xml:space="preserve"> kun</w:t>
      </w:r>
      <w:r w:rsidR="00BB1397">
        <w:rPr>
          <w:bCs/>
          <w:color w:val="244061" w:themeColor="accent1" w:themeShade="80"/>
          <w:sz w:val="20"/>
        </w:rPr>
        <w:t>e</w:t>
      </w:r>
      <w:r w:rsidRPr="00547762">
        <w:rPr>
          <w:bCs/>
          <w:color w:val="244061" w:themeColor="accent1" w:themeShade="80"/>
          <w:sz w:val="20"/>
        </w:rPr>
        <w:t xml:space="preserve">), </w:t>
      </w:r>
      <w:r w:rsidR="00161CA1" w:rsidRPr="00547762">
        <w:rPr>
          <w:bCs/>
          <w:color w:val="244061" w:themeColor="accent1" w:themeShade="80"/>
          <w:sz w:val="20"/>
        </w:rPr>
        <w:t xml:space="preserve">Kraljevici </w:t>
      </w:r>
      <w:r w:rsidRPr="00547762">
        <w:rPr>
          <w:bCs/>
          <w:color w:val="244061" w:themeColor="accent1" w:themeShade="80"/>
          <w:sz w:val="20"/>
        </w:rPr>
        <w:t>(4.</w:t>
      </w:r>
      <w:r w:rsidR="00161CA1">
        <w:rPr>
          <w:bCs/>
          <w:color w:val="244061" w:themeColor="accent1" w:themeShade="80"/>
          <w:sz w:val="20"/>
        </w:rPr>
        <w:t>413</w:t>
      </w:r>
      <w:r w:rsidRPr="00547762">
        <w:rPr>
          <w:bCs/>
          <w:color w:val="244061" w:themeColor="accent1" w:themeShade="80"/>
          <w:sz w:val="20"/>
        </w:rPr>
        <w:t xml:space="preserve"> kun</w:t>
      </w:r>
      <w:r w:rsidR="00BB1397">
        <w:rPr>
          <w:bCs/>
          <w:color w:val="244061" w:themeColor="accent1" w:themeShade="80"/>
          <w:sz w:val="20"/>
        </w:rPr>
        <w:t>e</w:t>
      </w:r>
      <w:r w:rsidRPr="00547762">
        <w:rPr>
          <w:bCs/>
          <w:color w:val="244061" w:themeColor="accent1" w:themeShade="80"/>
          <w:sz w:val="20"/>
        </w:rPr>
        <w:t xml:space="preserve">) i </w:t>
      </w:r>
      <w:proofErr w:type="spellStart"/>
      <w:r w:rsidR="00161CA1">
        <w:rPr>
          <w:bCs/>
          <w:color w:val="244061" w:themeColor="accent1" w:themeShade="80"/>
          <w:sz w:val="20"/>
        </w:rPr>
        <w:t>Mošćeničk</w:t>
      </w:r>
      <w:r w:rsidR="00152A99">
        <w:rPr>
          <w:bCs/>
          <w:color w:val="244061" w:themeColor="accent1" w:themeShade="80"/>
          <w:sz w:val="20"/>
        </w:rPr>
        <w:t>oj</w:t>
      </w:r>
      <w:proofErr w:type="spellEnd"/>
      <w:r w:rsidR="00161CA1">
        <w:rPr>
          <w:bCs/>
          <w:color w:val="244061" w:themeColor="accent1" w:themeShade="80"/>
          <w:sz w:val="20"/>
        </w:rPr>
        <w:t xml:space="preserve"> </w:t>
      </w:r>
      <w:r w:rsidR="00152A99">
        <w:rPr>
          <w:bCs/>
          <w:color w:val="244061" w:themeColor="accent1" w:themeShade="80"/>
          <w:sz w:val="20"/>
        </w:rPr>
        <w:t>Dragi</w:t>
      </w:r>
      <w:r w:rsidRPr="00547762">
        <w:rPr>
          <w:bCs/>
          <w:color w:val="244061" w:themeColor="accent1" w:themeShade="80"/>
          <w:sz w:val="20"/>
        </w:rPr>
        <w:t xml:space="preserve"> (4.3</w:t>
      </w:r>
      <w:r w:rsidR="00161CA1">
        <w:rPr>
          <w:bCs/>
          <w:color w:val="244061" w:themeColor="accent1" w:themeShade="80"/>
          <w:sz w:val="20"/>
        </w:rPr>
        <w:t>81</w:t>
      </w:r>
      <w:r w:rsidRPr="00547762">
        <w:rPr>
          <w:bCs/>
          <w:color w:val="244061" w:themeColor="accent1" w:themeShade="80"/>
          <w:sz w:val="20"/>
        </w:rPr>
        <w:t xml:space="preserve"> kun</w:t>
      </w:r>
      <w:r w:rsidR="00BB1397">
        <w:rPr>
          <w:bCs/>
          <w:color w:val="244061" w:themeColor="accent1" w:themeShade="80"/>
          <w:sz w:val="20"/>
        </w:rPr>
        <w:t>u</w:t>
      </w:r>
      <w:r w:rsidRPr="00547762">
        <w:rPr>
          <w:bCs/>
          <w:color w:val="244061" w:themeColor="accent1" w:themeShade="80"/>
          <w:sz w:val="20"/>
        </w:rPr>
        <w:t>).</w:t>
      </w:r>
    </w:p>
    <w:p w:rsidR="002B31B2" w:rsidRPr="00547762" w:rsidRDefault="002B31B2" w:rsidP="00167A79">
      <w:pPr>
        <w:pageBreakBefore/>
        <w:widowControl w:val="0"/>
        <w:spacing w:after="0"/>
        <w:jc w:val="both"/>
        <w:rPr>
          <w:bCs/>
          <w:color w:val="244061" w:themeColor="accent1" w:themeShade="80"/>
          <w:sz w:val="20"/>
        </w:rPr>
      </w:pPr>
      <w:r w:rsidRPr="002B31B2">
        <w:rPr>
          <w:bCs/>
          <w:color w:val="244061" w:themeColor="accent1" w:themeShade="80"/>
          <w:sz w:val="20"/>
        </w:rPr>
        <w:lastRenderedPageBreak/>
        <w:t>Za usporedbu, prosječna mjesečna obračunana neto plaća zaposlenih kod poduzetnika na razini RH u 2016. godini je iznosila 5.140 kuna</w:t>
      </w:r>
      <w:r w:rsidR="00167A79">
        <w:rPr>
          <w:bCs/>
          <w:color w:val="244061" w:themeColor="accent1" w:themeShade="80"/>
          <w:sz w:val="20"/>
        </w:rPr>
        <w:t>. I</w:t>
      </w:r>
      <w:r w:rsidR="00BB1397" w:rsidRPr="00BB1397">
        <w:rPr>
          <w:bCs/>
          <w:color w:val="244061" w:themeColor="accent1" w:themeShade="80"/>
          <w:sz w:val="20"/>
        </w:rPr>
        <w:t xml:space="preserve">znad toga prosjeka </w:t>
      </w:r>
      <w:r w:rsidR="000B4C65">
        <w:rPr>
          <w:bCs/>
          <w:color w:val="244061" w:themeColor="accent1" w:themeShade="80"/>
          <w:sz w:val="20"/>
        </w:rPr>
        <w:t xml:space="preserve">samo </w:t>
      </w:r>
      <w:r w:rsidR="00167A79">
        <w:rPr>
          <w:bCs/>
          <w:color w:val="244061" w:themeColor="accent1" w:themeShade="80"/>
          <w:sz w:val="20"/>
        </w:rPr>
        <w:t xml:space="preserve">su </w:t>
      </w:r>
      <w:r w:rsidRPr="002B31B2">
        <w:rPr>
          <w:bCs/>
          <w:color w:val="244061" w:themeColor="accent1" w:themeShade="80"/>
          <w:sz w:val="20"/>
        </w:rPr>
        <w:t xml:space="preserve">poduzetnici </w:t>
      </w:r>
      <w:r w:rsidR="00152A99">
        <w:rPr>
          <w:bCs/>
          <w:color w:val="244061" w:themeColor="accent1" w:themeShade="80"/>
          <w:sz w:val="20"/>
        </w:rPr>
        <w:t xml:space="preserve">sa sjedištem u </w:t>
      </w:r>
      <w:r w:rsidRPr="002B31B2">
        <w:rPr>
          <w:bCs/>
          <w:color w:val="244061" w:themeColor="accent1" w:themeShade="80"/>
          <w:sz w:val="20"/>
        </w:rPr>
        <w:t>Rije</w:t>
      </w:r>
      <w:r w:rsidR="00152A99">
        <w:rPr>
          <w:bCs/>
          <w:color w:val="244061" w:themeColor="accent1" w:themeShade="80"/>
          <w:sz w:val="20"/>
        </w:rPr>
        <w:t>ci</w:t>
      </w:r>
      <w:r w:rsidR="00BB1397">
        <w:rPr>
          <w:bCs/>
          <w:color w:val="244061" w:themeColor="accent1" w:themeShade="80"/>
          <w:sz w:val="20"/>
        </w:rPr>
        <w:t xml:space="preserve"> (</w:t>
      </w:r>
      <w:r w:rsidRPr="002B31B2">
        <w:rPr>
          <w:bCs/>
          <w:color w:val="244061" w:themeColor="accent1" w:themeShade="80"/>
          <w:sz w:val="20"/>
        </w:rPr>
        <w:t>za 4,</w:t>
      </w:r>
      <w:proofErr w:type="spellStart"/>
      <w:r w:rsidRPr="002B31B2">
        <w:rPr>
          <w:bCs/>
          <w:color w:val="244061" w:themeColor="accent1" w:themeShade="80"/>
          <w:sz w:val="20"/>
        </w:rPr>
        <w:t>4</w:t>
      </w:r>
      <w:proofErr w:type="spellEnd"/>
      <w:r w:rsidRPr="002B31B2">
        <w:rPr>
          <w:bCs/>
          <w:color w:val="244061" w:themeColor="accent1" w:themeShade="80"/>
          <w:sz w:val="20"/>
        </w:rPr>
        <w:t xml:space="preserve"> %</w:t>
      </w:r>
      <w:r w:rsidR="00BB1397">
        <w:rPr>
          <w:bCs/>
          <w:color w:val="244061" w:themeColor="accent1" w:themeShade="80"/>
          <w:sz w:val="20"/>
        </w:rPr>
        <w:t xml:space="preserve">) i </w:t>
      </w:r>
      <w:r w:rsidRPr="002B31B2">
        <w:rPr>
          <w:bCs/>
          <w:color w:val="244061" w:themeColor="accent1" w:themeShade="80"/>
          <w:sz w:val="20"/>
        </w:rPr>
        <w:t xml:space="preserve">Opatije </w:t>
      </w:r>
      <w:r w:rsidR="00BB1397">
        <w:rPr>
          <w:bCs/>
          <w:color w:val="244061" w:themeColor="accent1" w:themeShade="80"/>
          <w:sz w:val="20"/>
        </w:rPr>
        <w:t>(</w:t>
      </w:r>
      <w:r w:rsidRPr="002B31B2">
        <w:rPr>
          <w:bCs/>
          <w:color w:val="244061" w:themeColor="accent1" w:themeShade="80"/>
          <w:sz w:val="20"/>
        </w:rPr>
        <w:t>za 0,</w:t>
      </w:r>
      <w:r w:rsidR="00BB1397">
        <w:rPr>
          <w:bCs/>
          <w:color w:val="244061" w:themeColor="accent1" w:themeShade="80"/>
          <w:sz w:val="20"/>
        </w:rPr>
        <w:t>2 %) d</w:t>
      </w:r>
      <w:r w:rsidRPr="002B31B2">
        <w:rPr>
          <w:bCs/>
          <w:color w:val="244061" w:themeColor="accent1" w:themeShade="80"/>
          <w:sz w:val="20"/>
        </w:rPr>
        <w:t xml:space="preserve">ok su poduzetnici </w:t>
      </w:r>
      <w:r w:rsidR="00BB1397">
        <w:rPr>
          <w:bCs/>
          <w:color w:val="244061" w:themeColor="accent1" w:themeShade="80"/>
          <w:sz w:val="20"/>
        </w:rPr>
        <w:t xml:space="preserve">u ostalim gradovima i općina obuhvaćenim </w:t>
      </w:r>
      <w:r w:rsidRPr="002B31B2">
        <w:rPr>
          <w:bCs/>
          <w:color w:val="244061" w:themeColor="accent1" w:themeShade="80"/>
          <w:sz w:val="20"/>
        </w:rPr>
        <w:t>Urban</w:t>
      </w:r>
      <w:r w:rsidR="00BB1397">
        <w:rPr>
          <w:bCs/>
          <w:color w:val="244061" w:themeColor="accent1" w:themeShade="80"/>
          <w:sz w:val="20"/>
        </w:rPr>
        <w:t>om aglomeracijom</w:t>
      </w:r>
      <w:r w:rsidRPr="002B31B2">
        <w:rPr>
          <w:bCs/>
          <w:color w:val="244061" w:themeColor="accent1" w:themeShade="80"/>
          <w:sz w:val="20"/>
        </w:rPr>
        <w:t xml:space="preserve"> Rijeka </w:t>
      </w:r>
      <w:r w:rsidR="00152A99">
        <w:rPr>
          <w:bCs/>
          <w:color w:val="244061" w:themeColor="accent1" w:themeShade="80"/>
          <w:sz w:val="20"/>
        </w:rPr>
        <w:t xml:space="preserve">zaposlenima </w:t>
      </w:r>
      <w:r w:rsidRPr="002B31B2">
        <w:rPr>
          <w:bCs/>
          <w:color w:val="244061" w:themeColor="accent1" w:themeShade="80"/>
          <w:sz w:val="20"/>
        </w:rPr>
        <w:t>obračunali nižu plaću od prosjeka na razini RH.</w:t>
      </w:r>
      <w:r w:rsidR="00EE1A1B">
        <w:rPr>
          <w:bCs/>
          <w:color w:val="244061" w:themeColor="accent1" w:themeShade="80"/>
          <w:sz w:val="20"/>
        </w:rPr>
        <w:t xml:space="preserve"> </w:t>
      </w:r>
      <w:r w:rsidRPr="002B31B2">
        <w:rPr>
          <w:bCs/>
          <w:color w:val="244061" w:themeColor="accent1" w:themeShade="80"/>
          <w:sz w:val="20"/>
        </w:rPr>
        <w:t>Najniža mjesečna prosječna neto plaća obračuna</w:t>
      </w:r>
      <w:r w:rsidR="000B4C65">
        <w:rPr>
          <w:bCs/>
          <w:color w:val="244061" w:themeColor="accent1" w:themeShade="80"/>
          <w:sz w:val="20"/>
        </w:rPr>
        <w:t>ta</w:t>
      </w:r>
      <w:r w:rsidRPr="002B31B2">
        <w:rPr>
          <w:bCs/>
          <w:color w:val="244061" w:themeColor="accent1" w:themeShade="80"/>
          <w:sz w:val="20"/>
        </w:rPr>
        <w:t xml:space="preserve"> je zaposlenima kod poduzetnika u općini Čavle (3.806 kuna).</w:t>
      </w:r>
    </w:p>
    <w:p w:rsidR="008310DD" w:rsidRPr="00A77A2F" w:rsidRDefault="00E65163" w:rsidP="00E26D38">
      <w:pPr>
        <w:widowControl w:val="0"/>
        <w:tabs>
          <w:tab w:val="left" w:pos="1134"/>
          <w:tab w:val="left" w:pos="7938"/>
        </w:tabs>
        <w:spacing w:before="180" w:after="60" w:line="240" w:lineRule="auto"/>
        <w:ind w:left="1134" w:hanging="1134"/>
        <w:rPr>
          <w:rFonts w:cs="Arial"/>
          <w:color w:val="17365D"/>
          <w:sz w:val="16"/>
          <w:szCs w:val="16"/>
        </w:rPr>
      </w:pPr>
      <w:r w:rsidRPr="00E26D38">
        <w:rPr>
          <w:rFonts w:cs="Arial"/>
          <w:b/>
          <w:color w:val="244061"/>
          <w:sz w:val="18"/>
          <w:szCs w:val="18"/>
        </w:rPr>
        <w:t xml:space="preserve">Grafikon </w:t>
      </w:r>
      <w:r w:rsidR="004327E0" w:rsidRPr="00E26D38">
        <w:rPr>
          <w:rFonts w:cs="Arial"/>
          <w:b/>
          <w:color w:val="244061"/>
          <w:sz w:val="18"/>
          <w:szCs w:val="18"/>
        </w:rPr>
        <w:t>3</w:t>
      </w:r>
      <w:r w:rsidRPr="00E26D38">
        <w:rPr>
          <w:rFonts w:cs="Arial"/>
          <w:b/>
          <w:color w:val="244061"/>
          <w:sz w:val="18"/>
          <w:szCs w:val="18"/>
        </w:rPr>
        <w:t>.</w:t>
      </w:r>
      <w:r w:rsidRPr="00E26D38">
        <w:rPr>
          <w:rFonts w:cs="Arial"/>
          <w:b/>
          <w:color w:val="244061"/>
          <w:sz w:val="18"/>
          <w:szCs w:val="18"/>
        </w:rPr>
        <w:tab/>
      </w:r>
      <w:r w:rsidR="000B4C65" w:rsidRPr="00E26D38">
        <w:rPr>
          <w:rFonts w:cs="Arial"/>
          <w:b/>
          <w:color w:val="244061"/>
          <w:sz w:val="18"/>
          <w:szCs w:val="18"/>
          <w:u w:val="single"/>
        </w:rPr>
        <w:t>TOP 5</w:t>
      </w:r>
      <w:r w:rsidR="00D6295D">
        <w:rPr>
          <w:rFonts w:cs="Arial"/>
          <w:b/>
          <w:color w:val="244061"/>
          <w:sz w:val="18"/>
          <w:szCs w:val="18"/>
          <w:u w:val="single"/>
        </w:rPr>
        <w:t xml:space="preserve"> </w:t>
      </w:r>
      <w:r w:rsidR="00D6295D" w:rsidRPr="00D6295D">
        <w:rPr>
          <w:rFonts w:cs="Arial"/>
          <w:b/>
          <w:color w:val="244061"/>
          <w:sz w:val="18"/>
          <w:szCs w:val="18"/>
        </w:rPr>
        <w:t>prema p</w:t>
      </w:r>
      <w:r w:rsidRPr="00E26D38">
        <w:rPr>
          <w:rFonts w:cs="Arial"/>
          <w:b/>
          <w:color w:val="244061"/>
          <w:sz w:val="18"/>
          <w:szCs w:val="18"/>
        </w:rPr>
        <w:t>rosječn</w:t>
      </w:r>
      <w:r w:rsidR="00D6295D">
        <w:rPr>
          <w:rFonts w:cs="Arial"/>
          <w:b/>
          <w:color w:val="244061"/>
          <w:sz w:val="18"/>
          <w:szCs w:val="18"/>
        </w:rPr>
        <w:t>oj</w:t>
      </w:r>
      <w:r w:rsidRPr="00E26D38">
        <w:rPr>
          <w:rFonts w:cs="Arial"/>
          <w:b/>
          <w:color w:val="244061"/>
          <w:sz w:val="18"/>
          <w:szCs w:val="18"/>
        </w:rPr>
        <w:t xml:space="preserve"> mjesečn</w:t>
      </w:r>
      <w:r w:rsidR="00D6295D">
        <w:rPr>
          <w:rFonts w:cs="Arial"/>
          <w:b/>
          <w:color w:val="244061"/>
          <w:sz w:val="18"/>
          <w:szCs w:val="18"/>
        </w:rPr>
        <w:t>oj</w:t>
      </w:r>
      <w:r w:rsidRPr="00E26D38">
        <w:rPr>
          <w:rFonts w:cs="Arial"/>
          <w:b/>
          <w:color w:val="244061"/>
          <w:sz w:val="18"/>
          <w:szCs w:val="18"/>
        </w:rPr>
        <w:t xml:space="preserve"> neto plać</w:t>
      </w:r>
      <w:r w:rsidR="00D6295D">
        <w:rPr>
          <w:rFonts w:cs="Arial"/>
          <w:b/>
          <w:color w:val="244061"/>
          <w:sz w:val="18"/>
          <w:szCs w:val="18"/>
        </w:rPr>
        <w:t>i</w:t>
      </w:r>
      <w:r w:rsidRPr="00E26D38">
        <w:rPr>
          <w:rFonts w:cs="Arial"/>
          <w:b/>
          <w:color w:val="244061"/>
          <w:sz w:val="18"/>
          <w:szCs w:val="18"/>
        </w:rPr>
        <w:t xml:space="preserve"> po zaposlenom u 201</w:t>
      </w:r>
      <w:r w:rsidR="0068047C" w:rsidRPr="00E26D38">
        <w:rPr>
          <w:rFonts w:cs="Arial"/>
          <w:b/>
          <w:color w:val="244061"/>
          <w:sz w:val="18"/>
          <w:szCs w:val="18"/>
        </w:rPr>
        <w:t>6</w:t>
      </w:r>
      <w:r w:rsidRPr="00E26D38">
        <w:rPr>
          <w:rFonts w:cs="Arial"/>
          <w:b/>
          <w:color w:val="244061"/>
          <w:sz w:val="18"/>
          <w:szCs w:val="18"/>
        </w:rPr>
        <w:t xml:space="preserve">. </w:t>
      </w:r>
      <w:r w:rsidR="00A273AB" w:rsidRPr="00E26D38">
        <w:rPr>
          <w:rFonts w:cs="Arial"/>
          <w:b/>
          <w:color w:val="244061"/>
          <w:sz w:val="18"/>
          <w:szCs w:val="18"/>
        </w:rPr>
        <w:t>g</w:t>
      </w:r>
      <w:r w:rsidRPr="00E26D38">
        <w:rPr>
          <w:rFonts w:cs="Arial"/>
          <w:b/>
          <w:color w:val="244061"/>
          <w:sz w:val="18"/>
          <w:szCs w:val="18"/>
        </w:rPr>
        <w:t>odini</w:t>
      </w:r>
      <w:r w:rsidR="00A273AB" w:rsidRPr="00E26D38">
        <w:rPr>
          <w:rFonts w:cs="Arial"/>
          <w:b/>
          <w:color w:val="244061"/>
          <w:sz w:val="18"/>
          <w:szCs w:val="18"/>
        </w:rPr>
        <w:t xml:space="preserve"> po gradovima</w:t>
      </w:r>
      <w:r w:rsidR="00152A99">
        <w:rPr>
          <w:rFonts w:cs="Arial"/>
          <w:b/>
          <w:color w:val="244061"/>
          <w:sz w:val="18"/>
          <w:szCs w:val="18"/>
        </w:rPr>
        <w:t xml:space="preserve"> i </w:t>
      </w:r>
      <w:r w:rsidR="00A273AB" w:rsidRPr="00E26D38">
        <w:rPr>
          <w:rFonts w:cs="Arial"/>
          <w:b/>
          <w:color w:val="244061"/>
          <w:sz w:val="18"/>
          <w:szCs w:val="18"/>
        </w:rPr>
        <w:t>općinama Urbane aglomeracije Rijeka</w:t>
      </w:r>
      <w:r w:rsidR="000B4C65" w:rsidRPr="00E26D38">
        <w:rPr>
          <w:rFonts w:cs="Arial"/>
          <w:b/>
          <w:color w:val="244061"/>
          <w:sz w:val="18"/>
          <w:szCs w:val="18"/>
        </w:rPr>
        <w:t xml:space="preserve"> i na razini RH</w:t>
      </w:r>
      <w:r w:rsidR="00A273AB">
        <w:rPr>
          <w:rFonts w:cs="Arial"/>
          <w:color w:val="17365D"/>
          <w:sz w:val="19"/>
          <w:szCs w:val="19"/>
        </w:rPr>
        <w:tab/>
      </w:r>
      <w:r w:rsidRPr="00A77A2F">
        <w:rPr>
          <w:rFonts w:cs="Arial"/>
          <w:color w:val="17365D"/>
          <w:sz w:val="16"/>
          <w:szCs w:val="16"/>
        </w:rPr>
        <w:t>(iznosi u kunama)</w:t>
      </w:r>
    </w:p>
    <w:p w:rsidR="00E65163" w:rsidRPr="00A77A2F" w:rsidRDefault="00161CA1" w:rsidP="00D6295D">
      <w:pPr>
        <w:widowControl w:val="0"/>
        <w:tabs>
          <w:tab w:val="left" w:pos="1134"/>
          <w:tab w:val="left" w:pos="7938"/>
        </w:tabs>
        <w:spacing w:after="0"/>
        <w:ind w:left="1134" w:hanging="1134"/>
        <w:rPr>
          <w:rFonts w:cs="Arial"/>
          <w:i/>
          <w:color w:val="17365D"/>
          <w:sz w:val="16"/>
          <w:szCs w:val="16"/>
        </w:rPr>
      </w:pPr>
      <w:r>
        <w:rPr>
          <w:rFonts w:cs="Arial"/>
          <w:i/>
          <w:noProof/>
          <w:color w:val="17365D"/>
          <w:sz w:val="16"/>
          <w:szCs w:val="16"/>
        </w:rPr>
        <w:drawing>
          <wp:inline distT="0" distB="0" distL="0" distR="0" wp14:anchorId="180145DB">
            <wp:extent cx="6152083" cy="2303978"/>
            <wp:effectExtent l="0" t="0" r="1270" b="1270"/>
            <wp:docPr id="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2143" cy="2304000"/>
                    </a:xfrm>
                    <a:prstGeom prst="rect">
                      <a:avLst/>
                    </a:prstGeom>
                    <a:noFill/>
                  </pic:spPr>
                </pic:pic>
              </a:graphicData>
            </a:graphic>
          </wp:inline>
        </w:drawing>
      </w:r>
    </w:p>
    <w:p w:rsidR="0001005A" w:rsidRPr="00E030D7" w:rsidRDefault="00E65163" w:rsidP="00EE1A1B">
      <w:pPr>
        <w:spacing w:after="60" w:line="240" w:lineRule="auto"/>
        <w:rPr>
          <w:rFonts w:eastAsia="Calibri" w:cs="Arial"/>
          <w:b/>
          <w:color w:val="244061"/>
          <w:sz w:val="16"/>
          <w:szCs w:val="16"/>
          <w:lang w:eastAsia="en-US"/>
        </w:rPr>
      </w:pPr>
      <w:r w:rsidRPr="00E030D7">
        <w:rPr>
          <w:bCs/>
          <w:i/>
          <w:color w:val="244061"/>
          <w:sz w:val="16"/>
          <w:szCs w:val="16"/>
        </w:rPr>
        <w:t>Izvor: Fina, Registar godišnjih financijskih izvještaja</w:t>
      </w:r>
    </w:p>
    <w:p w:rsidR="004327E0" w:rsidRPr="00132FFE" w:rsidRDefault="004327E0" w:rsidP="00BB1397">
      <w:pPr>
        <w:pBdr>
          <w:bottom w:val="single" w:sz="12" w:space="0" w:color="auto"/>
        </w:pBdr>
        <w:rPr>
          <w:i/>
          <w:color w:val="1F497D"/>
          <w:sz w:val="2"/>
          <w:szCs w:val="16"/>
        </w:rPr>
      </w:pPr>
    </w:p>
    <w:p w:rsidR="004327E0" w:rsidRDefault="004327E0" w:rsidP="000B4C65">
      <w:pPr>
        <w:spacing w:after="120" w:line="240" w:lineRule="auto"/>
        <w:jc w:val="both"/>
        <w:rPr>
          <w:rFonts w:cs="Arial"/>
          <w:i/>
          <w:color w:val="17365D"/>
          <w:sz w:val="17"/>
          <w:szCs w:val="17"/>
        </w:rPr>
      </w:pPr>
      <w:r w:rsidRPr="00132FFE">
        <w:rPr>
          <w:rFonts w:cs="Arial"/>
          <w:i/>
          <w:color w:val="17365D"/>
          <w:sz w:val="17"/>
          <w:szCs w:val="17"/>
        </w:rPr>
        <w:t xml:space="preserve">Više o rezultatima poslovanja poduzetnika po područjima djelatnosti i po drugim kriterijima, prezentirano je u </w:t>
      </w:r>
      <w:hyperlink r:id="rId17" w:history="1">
        <w:r w:rsidRPr="00132FFE">
          <w:rPr>
            <w:rFonts w:cs="Arial"/>
            <w:i/>
            <w:color w:val="0000BF"/>
            <w:sz w:val="17"/>
            <w:szCs w:val="17"/>
            <w:u w:val="single"/>
          </w:rPr>
          <w:t>standardnim analizama</w:t>
        </w:r>
      </w:hyperlink>
      <w:r w:rsidRPr="00132FFE">
        <w:rPr>
          <w:rFonts w:cs="Arial"/>
          <w:i/>
          <w:color w:val="17365D"/>
          <w:sz w:val="17"/>
          <w:szCs w:val="17"/>
        </w:rPr>
        <w:t xml:space="preserve"> rezultata poslovanja poduzetnika RH, po županijama i po gradovima i općinama u 201</w:t>
      </w:r>
      <w:r w:rsidR="00BB1397">
        <w:rPr>
          <w:rFonts w:cs="Arial"/>
          <w:i/>
          <w:color w:val="17365D"/>
          <w:sz w:val="17"/>
          <w:szCs w:val="17"/>
        </w:rPr>
        <w:t>6</w:t>
      </w:r>
      <w:r w:rsidRPr="00132FFE">
        <w:rPr>
          <w:rFonts w:cs="Arial"/>
          <w:i/>
          <w:color w:val="17365D"/>
          <w:sz w:val="17"/>
          <w:szCs w:val="17"/>
        </w:rPr>
        <w:t>. g</w:t>
      </w:r>
      <w:r w:rsidR="00167A79">
        <w:rPr>
          <w:rFonts w:cs="Arial"/>
          <w:i/>
          <w:color w:val="17365D"/>
          <w:sz w:val="17"/>
          <w:szCs w:val="17"/>
        </w:rPr>
        <w:t>odini</w:t>
      </w:r>
      <w:r w:rsidRPr="00132FFE">
        <w:rPr>
          <w:rFonts w:cs="Arial"/>
          <w:i/>
          <w:color w:val="17365D"/>
          <w:sz w:val="17"/>
          <w:szCs w:val="17"/>
        </w:rPr>
        <w:t xml:space="preserve">. </w:t>
      </w:r>
    </w:p>
    <w:p w:rsidR="004327E0" w:rsidRPr="00132FFE" w:rsidRDefault="004327E0" w:rsidP="000B4C65">
      <w:pPr>
        <w:spacing w:after="120" w:line="240" w:lineRule="auto"/>
        <w:rPr>
          <w:rFonts w:eastAsia="Calibri" w:cs="Arial"/>
          <w:i/>
          <w:color w:val="0000FF"/>
          <w:sz w:val="17"/>
          <w:szCs w:val="17"/>
          <w:u w:val="single"/>
        </w:rPr>
      </w:pPr>
      <w:r w:rsidRPr="00132FFE">
        <w:rPr>
          <w:rFonts w:cs="Arial"/>
          <w:i/>
          <w:color w:val="17365D"/>
          <w:sz w:val="17"/>
          <w:szCs w:val="17"/>
        </w:rPr>
        <w:t>Pojedinačni podaci o rezultatima poslovanja poduzetnika dostupni su besplatno na</w:t>
      </w:r>
      <w:r w:rsidRPr="00132FFE">
        <w:rPr>
          <w:rFonts w:eastAsia="Calibri" w:cs="Arial"/>
          <w:i/>
          <w:color w:val="17365D"/>
          <w:sz w:val="17"/>
          <w:szCs w:val="17"/>
        </w:rPr>
        <w:t xml:space="preserve"> </w:t>
      </w:r>
      <w:hyperlink r:id="rId18" w:history="1">
        <w:r w:rsidRPr="00132FFE">
          <w:rPr>
            <w:rFonts w:eastAsia="Calibri" w:cs="Arial"/>
            <w:i/>
            <w:color w:val="0000FF"/>
            <w:sz w:val="17"/>
            <w:szCs w:val="17"/>
            <w:u w:val="single"/>
          </w:rPr>
          <w:t>RGFI – javna objava</w:t>
        </w:r>
      </w:hyperlink>
      <w:r w:rsidRPr="00132FFE">
        <w:rPr>
          <w:rFonts w:eastAsia="Calibri" w:cs="Arial"/>
          <w:i/>
          <w:color w:val="0F243E"/>
          <w:sz w:val="17"/>
          <w:szCs w:val="17"/>
        </w:rPr>
        <w:t xml:space="preserve"> </w:t>
      </w:r>
      <w:r w:rsidRPr="00132FFE">
        <w:rPr>
          <w:rFonts w:cs="Arial"/>
          <w:i/>
          <w:color w:val="17375E"/>
          <w:sz w:val="17"/>
          <w:szCs w:val="17"/>
        </w:rPr>
        <w:t>i na</w:t>
      </w:r>
      <w:r w:rsidRPr="00132FFE">
        <w:rPr>
          <w:rFonts w:eastAsia="Calibri" w:cs="Arial"/>
          <w:i/>
          <w:color w:val="0F243E"/>
          <w:sz w:val="17"/>
          <w:szCs w:val="17"/>
        </w:rPr>
        <w:t xml:space="preserve"> </w:t>
      </w:r>
      <w:hyperlink r:id="rId19" w:history="1">
        <w:r w:rsidRPr="00132FFE">
          <w:rPr>
            <w:rFonts w:eastAsia="Calibri" w:cs="Arial"/>
            <w:i/>
            <w:color w:val="0000FF"/>
            <w:sz w:val="17"/>
            <w:szCs w:val="17"/>
            <w:u w:val="single"/>
          </w:rPr>
          <w:t>Transparentno.hr</w:t>
        </w:r>
      </w:hyperlink>
    </w:p>
    <w:p w:rsidR="004327E0" w:rsidRDefault="004327E0" w:rsidP="00BB1397">
      <w:pPr>
        <w:spacing w:after="120" w:line="240" w:lineRule="auto"/>
        <w:jc w:val="both"/>
        <w:rPr>
          <w:rFonts w:eastAsia="Calibri" w:cs="Arial"/>
          <w:bCs/>
          <w:i/>
          <w:color w:val="17365D"/>
          <w:sz w:val="17"/>
          <w:szCs w:val="17"/>
        </w:rPr>
      </w:pPr>
      <w:r w:rsidRPr="00132FFE">
        <w:rPr>
          <w:rFonts w:eastAsia="Calibri" w:cs="Arial"/>
          <w:bCs/>
          <w:i/>
          <w:color w:val="17365D"/>
          <w:sz w:val="17"/>
          <w:szCs w:val="17"/>
        </w:rPr>
        <w:t xml:space="preserve">Informacija o tome je li poslovni subjekt u blokadi ili ne, dostupna je korištenjem usluge </w:t>
      </w:r>
      <w:hyperlink r:id="rId20" w:history="1">
        <w:r w:rsidRPr="00132FFE">
          <w:rPr>
            <w:rFonts w:eastAsia="Calibri" w:cs="Arial"/>
            <w:bCs/>
            <w:i/>
            <w:color w:val="0000BF"/>
            <w:sz w:val="17"/>
            <w:szCs w:val="17"/>
            <w:u w:val="single"/>
          </w:rPr>
          <w:t>FINA InfoBlokade</w:t>
        </w:r>
      </w:hyperlink>
      <w:r w:rsidRPr="00132FFE">
        <w:rPr>
          <w:rFonts w:eastAsia="Calibri" w:cs="Arial"/>
          <w:bCs/>
          <w:i/>
          <w:color w:val="17365D"/>
          <w:sz w:val="17"/>
          <w:szCs w:val="17"/>
        </w:rPr>
        <w:t xml:space="preserve"> slanjem SMS poruku na broj 818058. te korištenjem </w:t>
      </w:r>
      <w:hyperlink r:id="rId21" w:history="1">
        <w:r w:rsidRPr="00132FFE">
          <w:rPr>
            <w:rFonts w:eastAsia="Calibri" w:cs="Arial"/>
            <w:bCs/>
            <w:i/>
            <w:color w:val="0000FF"/>
            <w:sz w:val="17"/>
            <w:szCs w:val="17"/>
            <w:u w:val="single"/>
          </w:rPr>
          <w:t>WEB aplikacije JRR</w:t>
        </w:r>
      </w:hyperlink>
      <w:r w:rsidRPr="00132FFE">
        <w:rPr>
          <w:rFonts w:eastAsia="Calibri" w:cs="Arial"/>
          <w:bCs/>
          <w:i/>
          <w:color w:val="17365D"/>
          <w:sz w:val="17"/>
          <w:szCs w:val="17"/>
        </w:rPr>
        <w:t xml:space="preserve"> tj. uvidom u podatke o računima i statusu blokade poslovnih subjekata, koji se ažuriraju u </w:t>
      </w:r>
      <w:hyperlink r:id="rId22" w:history="1">
        <w:r w:rsidRPr="00132FFE">
          <w:rPr>
            <w:rFonts w:eastAsia="Calibri" w:cs="Arial"/>
            <w:bCs/>
            <w:i/>
            <w:color w:val="0000FF"/>
            <w:sz w:val="17"/>
            <w:szCs w:val="17"/>
            <w:u w:val="single"/>
          </w:rPr>
          <w:t>Jedinstvenom registru računa</w:t>
        </w:r>
      </w:hyperlink>
      <w:r w:rsidRPr="00132FFE">
        <w:rPr>
          <w:rFonts w:eastAsia="Calibri" w:cs="Arial"/>
          <w:bCs/>
          <w:i/>
          <w:color w:val="17365D"/>
          <w:sz w:val="17"/>
          <w:szCs w:val="17"/>
        </w:rPr>
        <w:t xml:space="preserve"> kojega u skladu sa zakonskim propisima, od 2002. godine, vodi Financijska agencija.</w:t>
      </w:r>
    </w:p>
    <w:tbl>
      <w:tblPr>
        <w:tblW w:w="9558" w:type="dxa"/>
        <w:tblInd w:w="108" w:type="dxa"/>
        <w:tblBorders>
          <w:top w:val="single" w:sz="4" w:space="0" w:color="D9D9D9"/>
          <w:left w:val="single" w:sz="4" w:space="0" w:color="D9D9D9"/>
          <w:bottom w:val="single" w:sz="4" w:space="0" w:color="D9D9D9"/>
          <w:right w:val="single" w:sz="4" w:space="0" w:color="D9D9D9"/>
        </w:tblBorders>
        <w:tblLayout w:type="fixed"/>
        <w:tblLook w:val="00A0" w:firstRow="1" w:lastRow="0" w:firstColumn="1" w:lastColumn="0" w:noHBand="0" w:noVBand="0"/>
      </w:tblPr>
      <w:tblGrid>
        <w:gridCol w:w="3402"/>
        <w:gridCol w:w="2694"/>
        <w:gridCol w:w="3462"/>
      </w:tblGrid>
      <w:tr w:rsidR="004327E0" w:rsidTr="000B4C65">
        <w:trPr>
          <w:trHeight w:val="2909"/>
        </w:trPr>
        <w:tc>
          <w:tcPr>
            <w:tcW w:w="3402" w:type="dxa"/>
            <w:tcBorders>
              <w:top w:val="single" w:sz="4" w:space="0" w:color="D9D9D9"/>
              <w:left w:val="single" w:sz="4" w:space="0" w:color="D9D9D9"/>
              <w:bottom w:val="single" w:sz="4" w:space="0" w:color="D9D9D9"/>
              <w:right w:val="nil"/>
            </w:tcBorders>
            <w:vAlign w:val="center"/>
            <w:hideMark/>
          </w:tcPr>
          <w:p w:rsidR="004327E0" w:rsidRDefault="00C32213" w:rsidP="00D74406">
            <w:pPr>
              <w:jc w:val="center"/>
              <w:rPr>
                <w:rFonts w:cs="Arial"/>
                <w:bCs/>
                <w:i/>
                <w:color w:val="17365D"/>
                <w:sz w:val="19"/>
                <w:szCs w:val="19"/>
              </w:rPr>
            </w:pPr>
            <w:r>
              <w:rPr>
                <w:rFonts w:cs="Arial"/>
                <w:noProof/>
                <w:color w:val="808080"/>
                <w:sz w:val="17"/>
                <w:szCs w:val="17"/>
              </w:rPr>
              <w:drawing>
                <wp:inline distT="0" distB="0" distL="0" distR="0" wp14:anchorId="794DDF24" wp14:editId="3B765C38">
                  <wp:extent cx="2022764" cy="1794163"/>
                  <wp:effectExtent l="0" t="0" r="0" b="0"/>
                  <wp:docPr id="68" name="Slika 68" descr="Fina info šasija_210x270.jpg">
                    <a:hlinkClick xmlns:a="http://schemas.openxmlformats.org/drawingml/2006/main" r:id="rId23" tooltip="&quot;&quot; 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descr="Fina info šasija_210x270.jpg">
                            <a:hlinkClick r:id="rId23" tooltip="&quot;&quot; t "/>
                          </pic:cNvPr>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1934" cy="1793427"/>
                          </a:xfrm>
                          <a:prstGeom prst="rect">
                            <a:avLst/>
                          </a:prstGeom>
                          <a:noFill/>
                          <a:ln>
                            <a:noFill/>
                          </a:ln>
                        </pic:spPr>
                      </pic:pic>
                    </a:graphicData>
                  </a:graphic>
                </wp:inline>
              </w:drawing>
            </w:r>
          </w:p>
        </w:tc>
        <w:tc>
          <w:tcPr>
            <w:tcW w:w="2694" w:type="dxa"/>
            <w:tcBorders>
              <w:top w:val="single" w:sz="4" w:space="0" w:color="D9D9D9"/>
              <w:left w:val="nil"/>
              <w:bottom w:val="single" w:sz="4" w:space="0" w:color="D9D9D9"/>
              <w:right w:val="nil"/>
            </w:tcBorders>
            <w:vAlign w:val="center"/>
            <w:hideMark/>
          </w:tcPr>
          <w:p w:rsidR="004327E0" w:rsidRDefault="0016617F" w:rsidP="00152A99">
            <w:pPr>
              <w:spacing w:after="0"/>
              <w:jc w:val="center"/>
              <w:rPr>
                <w:rFonts w:cs="Arial"/>
                <w:bCs/>
                <w:i/>
                <w:color w:val="17365D"/>
                <w:sz w:val="19"/>
                <w:szCs w:val="19"/>
              </w:rPr>
            </w:pPr>
            <w:r>
              <w:rPr>
                <w:rFonts w:cs="Arial"/>
                <w:bCs/>
                <w:i/>
                <w:noProof/>
                <w:color w:val="17365D"/>
                <w:sz w:val="19"/>
                <w:szCs w:val="19"/>
              </w:rPr>
              <w:drawing>
                <wp:inline distT="0" distB="0" distL="0" distR="0" wp14:anchorId="46BC98A6" wp14:editId="4C38FD02">
                  <wp:extent cx="1566000" cy="1836000"/>
                  <wp:effectExtent l="0" t="0" r="0" b="0"/>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aslovnica_Analiza gradovi opcine 2017.jpg"/>
                          <pic:cNvPicPr/>
                        </pic:nvPicPr>
                        <pic:blipFill rotWithShape="1">
                          <a:blip r:embed="rId25" cstate="print">
                            <a:extLst>
                              <a:ext uri="{28A0092B-C50C-407E-A947-70E740481C1C}">
                                <a14:useLocalDpi xmlns:a14="http://schemas.microsoft.com/office/drawing/2010/main" val="0"/>
                              </a:ext>
                            </a:extLst>
                          </a:blip>
                          <a:srcRect t="3214"/>
                          <a:stretch/>
                        </pic:blipFill>
                        <pic:spPr bwMode="auto">
                          <a:xfrm>
                            <a:off x="0" y="0"/>
                            <a:ext cx="1566000" cy="1836000"/>
                          </a:xfrm>
                          <a:prstGeom prst="rect">
                            <a:avLst/>
                          </a:prstGeom>
                          <a:ln>
                            <a:noFill/>
                          </a:ln>
                          <a:extLst>
                            <a:ext uri="{53640926-AAD7-44D8-BBD7-CCE9431645EC}">
                              <a14:shadowObscured xmlns:a14="http://schemas.microsoft.com/office/drawing/2010/main"/>
                            </a:ext>
                          </a:extLst>
                        </pic:spPr>
                      </pic:pic>
                    </a:graphicData>
                  </a:graphic>
                </wp:inline>
              </w:drawing>
            </w:r>
          </w:p>
        </w:tc>
        <w:tc>
          <w:tcPr>
            <w:tcW w:w="3462" w:type="dxa"/>
            <w:tcBorders>
              <w:top w:val="single" w:sz="4" w:space="0" w:color="D9D9D9"/>
              <w:left w:val="nil"/>
              <w:bottom w:val="single" w:sz="4" w:space="0" w:color="D9D9D9"/>
              <w:right w:val="single" w:sz="4" w:space="0" w:color="D9D9D9"/>
            </w:tcBorders>
            <w:vAlign w:val="center"/>
            <w:hideMark/>
          </w:tcPr>
          <w:p w:rsidR="004327E0" w:rsidRDefault="004327E0" w:rsidP="00D74406">
            <w:pPr>
              <w:jc w:val="center"/>
              <w:rPr>
                <w:rFonts w:cs="Arial"/>
                <w:bCs/>
                <w:i/>
                <w:color w:val="17365D"/>
                <w:sz w:val="19"/>
                <w:szCs w:val="19"/>
              </w:rPr>
            </w:pPr>
            <w:r>
              <w:rPr>
                <w:rFonts w:cs="Arial"/>
                <w:b/>
                <w:noProof/>
                <w:color w:val="808080"/>
                <w:sz w:val="17"/>
                <w:szCs w:val="17"/>
              </w:rPr>
              <w:drawing>
                <wp:inline distT="0" distB="0" distL="0" distR="0" wp14:anchorId="414F145C" wp14:editId="11CCF713">
                  <wp:extent cx="2050473" cy="1821873"/>
                  <wp:effectExtent l="0" t="0" r="6985" b="6985"/>
                  <wp:docPr id="1" name="Slika 1" descr="smsBlokade_210x270.jpg">
                    <a:hlinkClick xmlns:a="http://schemas.openxmlformats.org/drawingml/2006/main" r:id="rId26" tooltip="&quot;FINA InfoBlokade&quot; 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5" descr="smsBlokade_210x270.jpg">
                            <a:hlinkClick r:id="rId26" tooltip="&quot;FINA InfoBlokade&quot; t "/>
                          </pic:cNvPr>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9499" cy="1821007"/>
                          </a:xfrm>
                          <a:prstGeom prst="rect">
                            <a:avLst/>
                          </a:prstGeom>
                          <a:noFill/>
                          <a:ln>
                            <a:noFill/>
                          </a:ln>
                        </pic:spPr>
                      </pic:pic>
                    </a:graphicData>
                  </a:graphic>
                </wp:inline>
              </w:drawing>
            </w:r>
          </w:p>
        </w:tc>
      </w:tr>
    </w:tbl>
    <w:p w:rsidR="004327E0" w:rsidRPr="00454D3F" w:rsidRDefault="004327E0" w:rsidP="000B4C65">
      <w:pPr>
        <w:widowControl w:val="0"/>
        <w:spacing w:before="240"/>
        <w:rPr>
          <w:bCs/>
          <w:color w:val="244061" w:themeColor="accent1" w:themeShade="80"/>
          <w:sz w:val="20"/>
        </w:rPr>
      </w:pPr>
    </w:p>
    <w:sectPr w:rsidR="004327E0" w:rsidRPr="00454D3F" w:rsidSect="000B1AA0">
      <w:headerReference w:type="default" r:id="rId28"/>
      <w:footerReference w:type="defaul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C9" w:rsidRDefault="00EB4BC9" w:rsidP="00E65163">
      <w:pPr>
        <w:spacing w:line="240" w:lineRule="auto"/>
      </w:pPr>
      <w:r>
        <w:separator/>
      </w:r>
    </w:p>
  </w:endnote>
  <w:endnote w:type="continuationSeparator" w:id="0">
    <w:p w:rsidR="00EB4BC9" w:rsidRDefault="00EB4BC9" w:rsidP="00E6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Helvetica, sans-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A79" w:rsidRPr="00167A79" w:rsidRDefault="00167A79" w:rsidP="00167A79">
    <w:pPr>
      <w:pStyle w:val="Footer"/>
      <w:spacing w:after="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C9" w:rsidRDefault="00EB4BC9" w:rsidP="00E65163">
      <w:pPr>
        <w:spacing w:line="240" w:lineRule="auto"/>
      </w:pPr>
      <w:r>
        <w:separator/>
      </w:r>
    </w:p>
  </w:footnote>
  <w:footnote w:type="continuationSeparator" w:id="0">
    <w:p w:rsidR="00EB4BC9" w:rsidRDefault="00EB4BC9" w:rsidP="00E65163">
      <w:pPr>
        <w:spacing w:line="240" w:lineRule="auto"/>
      </w:pPr>
      <w:r>
        <w:continuationSeparator/>
      </w:r>
    </w:p>
  </w:footnote>
  <w:footnote w:id="1">
    <w:p w:rsidR="001A777A" w:rsidRPr="00152A99" w:rsidRDefault="001A777A" w:rsidP="00E26D38">
      <w:pPr>
        <w:pStyle w:val="FootnoteText"/>
        <w:spacing w:after="0" w:line="240" w:lineRule="auto"/>
        <w:rPr>
          <w:sz w:val="17"/>
          <w:szCs w:val="17"/>
        </w:rPr>
      </w:pPr>
      <w:r w:rsidRPr="00152A99">
        <w:rPr>
          <w:rStyle w:val="FootnoteReference"/>
          <w:sz w:val="17"/>
          <w:szCs w:val="17"/>
        </w:rPr>
        <w:footnoteRef/>
      </w:r>
      <w:r w:rsidRPr="00152A99">
        <w:rPr>
          <w:sz w:val="17"/>
          <w:szCs w:val="17"/>
        </w:rPr>
        <w:t xml:space="preserve"> </w:t>
      </w:r>
      <w:r w:rsidRPr="00152A99">
        <w:rPr>
          <w:rFonts w:cs="Arial"/>
          <w:color w:val="244061" w:themeColor="accent1" w:themeShade="80"/>
          <w:sz w:val="17"/>
          <w:szCs w:val="17"/>
        </w:rPr>
        <w:t>Usvajanjem novog Zakona o regionalnom razvoju (NN, 147/14), koji je u primjeni od 1. siječnja 2015. godine, uvedena je mogućnost stvaranja urbanih aglomeracija oko četiri najveća hrvatska grada: Zagreba, Splita, Rijeke i Osijeka, uz mogućnost širenja i na druge veće gradove, s ciljem ostvarenja strategije Europske unije do 2020. godine. Strategijom se posebna važnost daje urbanim sredinama, kojima se kroz urbane aglomeracije nastoji povećati konkurentnost na globalnom tržištu te kroz mehanizam Integriranih teritorijalnih ulaganja (ITU) osigurati dodatna sredstva iz europskih fondova. Podaci pokazuju da oko 70</w:t>
      </w:r>
      <w:r w:rsidR="000E56E2" w:rsidRPr="00152A99">
        <w:rPr>
          <w:rFonts w:cs="Arial"/>
          <w:color w:val="244061" w:themeColor="accent1" w:themeShade="80"/>
          <w:sz w:val="17"/>
          <w:szCs w:val="17"/>
        </w:rPr>
        <w:t xml:space="preserve"> </w:t>
      </w:r>
      <w:r w:rsidRPr="00152A99">
        <w:rPr>
          <w:rFonts w:cs="Arial"/>
          <w:color w:val="244061" w:themeColor="accent1" w:themeShade="80"/>
          <w:sz w:val="17"/>
          <w:szCs w:val="17"/>
        </w:rPr>
        <w:t>% stanovništva EU živi u urbanim područjima. Izvor: FERATA – Hit radio d.o.o., preuzeto 18.9.2015.</w:t>
      </w:r>
    </w:p>
  </w:footnote>
  <w:footnote w:id="2">
    <w:p w:rsidR="001A777A" w:rsidRPr="00152A99" w:rsidRDefault="001A777A" w:rsidP="00E26D38">
      <w:pPr>
        <w:spacing w:before="40" w:after="0" w:line="240" w:lineRule="auto"/>
        <w:rPr>
          <w:sz w:val="17"/>
          <w:szCs w:val="17"/>
        </w:rPr>
      </w:pPr>
      <w:r w:rsidRPr="00152A99">
        <w:rPr>
          <w:rStyle w:val="FootnoteReference"/>
          <w:sz w:val="17"/>
          <w:szCs w:val="17"/>
        </w:rPr>
        <w:footnoteRef/>
      </w:r>
      <w:r w:rsidRPr="00152A99">
        <w:rPr>
          <w:sz w:val="17"/>
          <w:szCs w:val="17"/>
        </w:rPr>
        <w:t xml:space="preserve"> </w:t>
      </w:r>
      <w:r w:rsidRPr="00152A99">
        <w:rPr>
          <w:rFonts w:cs="Arial"/>
          <w:color w:val="244061" w:themeColor="accent1" w:themeShade="80"/>
          <w:sz w:val="17"/>
          <w:szCs w:val="17"/>
        </w:rPr>
        <w:t xml:space="preserve">Središnji državni portal, Ustrojena urbana aglomeracije Rijeka, preuzeto 19. rujna 2016. </w:t>
      </w:r>
      <w:hyperlink r:id="rId1" w:history="1">
        <w:r w:rsidRPr="00152A99">
          <w:rPr>
            <w:rStyle w:val="Hyperlink"/>
            <w:rFonts w:cs="Arial"/>
            <w:sz w:val="17"/>
            <w:szCs w:val="17"/>
          </w:rPr>
          <w:t>https://razvoj.gov.hr/prva-urbana-aglomeracija-u-republici-hrvatskoj-urbana-aglomeracija-rijeka/3190</w:t>
        </w:r>
      </w:hyperlink>
    </w:p>
  </w:footnote>
  <w:footnote w:id="3">
    <w:p w:rsidR="00167A79" w:rsidRPr="00167A79" w:rsidRDefault="00167A79" w:rsidP="00167A79">
      <w:pPr>
        <w:pStyle w:val="FootnoteText"/>
        <w:spacing w:after="0" w:line="240" w:lineRule="auto"/>
        <w:rPr>
          <w:sz w:val="17"/>
          <w:szCs w:val="17"/>
        </w:rPr>
      </w:pPr>
      <w:r w:rsidRPr="00167A79">
        <w:rPr>
          <w:rStyle w:val="FootnoteReference"/>
          <w:sz w:val="17"/>
          <w:szCs w:val="17"/>
        </w:rPr>
        <w:footnoteRef/>
      </w:r>
      <w:r w:rsidRPr="00167A79">
        <w:rPr>
          <w:sz w:val="17"/>
          <w:szCs w:val="17"/>
        </w:rPr>
        <w:t xml:space="preserve"> </w:t>
      </w:r>
      <w:r w:rsidRPr="00167A79">
        <w:rPr>
          <w:sz w:val="17"/>
          <w:szCs w:val="17"/>
        </w:rPr>
        <w:t>Trgovački sud u Rijeci objav</w:t>
      </w:r>
      <w:r>
        <w:rPr>
          <w:sz w:val="17"/>
          <w:szCs w:val="17"/>
        </w:rPr>
        <w:t xml:space="preserve">io je </w:t>
      </w:r>
      <w:r w:rsidRPr="00167A79">
        <w:rPr>
          <w:sz w:val="17"/>
          <w:szCs w:val="17"/>
        </w:rPr>
        <w:t>upis rješenj</w:t>
      </w:r>
      <w:r>
        <w:rPr>
          <w:sz w:val="17"/>
          <w:szCs w:val="17"/>
        </w:rPr>
        <w:t>a</w:t>
      </w:r>
      <w:r w:rsidRPr="00167A79">
        <w:rPr>
          <w:sz w:val="17"/>
          <w:szCs w:val="17"/>
        </w:rPr>
        <w:t xml:space="preserve"> o otvaranju postupka predstečajne nagodbe u Sudski registar</w:t>
      </w:r>
      <w:r>
        <w:rPr>
          <w:sz w:val="17"/>
          <w:szCs w:val="17"/>
        </w:rPr>
        <w:t xml:space="preserve">, </w:t>
      </w:r>
      <w:r w:rsidRPr="00167A79">
        <w:rPr>
          <w:sz w:val="17"/>
          <w:szCs w:val="17"/>
        </w:rPr>
        <w:t xml:space="preserve">po rješenju pod poslovnim brojem </w:t>
      </w:r>
      <w:proofErr w:type="spellStart"/>
      <w:r w:rsidRPr="00167A79">
        <w:rPr>
          <w:sz w:val="17"/>
          <w:szCs w:val="17"/>
        </w:rPr>
        <w:t>Tt</w:t>
      </w:r>
      <w:proofErr w:type="spellEnd"/>
      <w:r w:rsidRPr="00167A79">
        <w:rPr>
          <w:sz w:val="17"/>
          <w:szCs w:val="17"/>
        </w:rPr>
        <w:t>-15/47</w:t>
      </w:r>
      <w:r>
        <w:rPr>
          <w:sz w:val="17"/>
          <w:szCs w:val="17"/>
        </w:rPr>
        <w:t xml:space="preserve">98-2 od 30. srpnja 2015. godine. Izvor Sudski registar, </w:t>
      </w:r>
      <w:r w:rsidRPr="00167A79">
        <w:rPr>
          <w:sz w:val="17"/>
          <w:szCs w:val="17"/>
        </w:rPr>
        <w:t>preuzeto 15.9.2017. godine</w:t>
      </w:r>
      <w:r>
        <w:rPr>
          <w:sz w:val="17"/>
          <w:szCs w:val="17"/>
        </w:rPr>
        <w:t xml:space="preserve">, </w:t>
      </w:r>
      <w:hyperlink r:id="rId2" w:history="1">
        <w:r w:rsidRPr="00221C3F">
          <w:rPr>
            <w:rStyle w:val="Hyperlink"/>
            <w:sz w:val="17"/>
            <w:szCs w:val="17"/>
          </w:rPr>
          <w:t>https://sudreg.pravosudje.hr/registar/f?p=150:28:0::NO:28:P28_SBT_MBS:040255000#a_tekst_objave</w:t>
        </w:r>
      </w:hyperlink>
      <w:r>
        <w:rPr>
          <w:sz w:val="17"/>
          <w:szCs w:val="17"/>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1B" w:rsidRPr="00E26D38" w:rsidRDefault="005A1F1B" w:rsidP="00E26D38">
    <w:pPr>
      <w:pStyle w:val="Header"/>
      <w:spacing w:after="0"/>
      <w:rPr>
        <w:sz w:val="20"/>
      </w:rPr>
    </w:pPr>
    <w:r>
      <w:rPr>
        <w:rFonts w:ascii="Arial, Helvetica, sans-serif" w:hAnsi="Arial, Helvetica, sans-serif"/>
        <w:noProof/>
        <w:color w:val="00325A"/>
        <w:sz w:val="20"/>
      </w:rPr>
      <w:drawing>
        <wp:inline distT="0" distB="0" distL="0" distR="0" wp14:anchorId="09A8FDC1" wp14:editId="331B80A6">
          <wp:extent cx="995045" cy="219710"/>
          <wp:effectExtent l="0" t="0" r="0" b="8890"/>
          <wp:docPr id="8" name="Picture 3" descr="Opis: http://intrajrr/images/fina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intrajrr/images/fina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045" cy="2197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5EC"/>
    <w:multiLevelType w:val="multilevel"/>
    <w:tmpl w:val="D63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B241D"/>
    <w:multiLevelType w:val="hybridMultilevel"/>
    <w:tmpl w:val="46ACC8EA"/>
    <w:lvl w:ilvl="0" w:tplc="7424EB3C">
      <w:start w:val="1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3"/>
    <w:rsid w:val="0001005A"/>
    <w:rsid w:val="00034DC3"/>
    <w:rsid w:val="000512F7"/>
    <w:rsid w:val="00064F08"/>
    <w:rsid w:val="0006792B"/>
    <w:rsid w:val="00076D69"/>
    <w:rsid w:val="00080961"/>
    <w:rsid w:val="000A0D72"/>
    <w:rsid w:val="000A724E"/>
    <w:rsid w:val="000B1AA0"/>
    <w:rsid w:val="000B4C65"/>
    <w:rsid w:val="000E56E2"/>
    <w:rsid w:val="00152A99"/>
    <w:rsid w:val="00156F2F"/>
    <w:rsid w:val="00161CA1"/>
    <w:rsid w:val="0016617F"/>
    <w:rsid w:val="00167A79"/>
    <w:rsid w:val="00177727"/>
    <w:rsid w:val="00184040"/>
    <w:rsid w:val="001A4911"/>
    <w:rsid w:val="001A755C"/>
    <w:rsid w:val="001A777A"/>
    <w:rsid w:val="001C691D"/>
    <w:rsid w:val="001D65CB"/>
    <w:rsid w:val="0020405E"/>
    <w:rsid w:val="00204C23"/>
    <w:rsid w:val="002155B7"/>
    <w:rsid w:val="002345C3"/>
    <w:rsid w:val="00243587"/>
    <w:rsid w:val="002A31D4"/>
    <w:rsid w:val="002B31B2"/>
    <w:rsid w:val="002C2DA0"/>
    <w:rsid w:val="002E5AC3"/>
    <w:rsid w:val="00313E09"/>
    <w:rsid w:val="00333F4B"/>
    <w:rsid w:val="003413A8"/>
    <w:rsid w:val="00364781"/>
    <w:rsid w:val="00386E0C"/>
    <w:rsid w:val="003B219A"/>
    <w:rsid w:val="003E79B4"/>
    <w:rsid w:val="004318D2"/>
    <w:rsid w:val="004327E0"/>
    <w:rsid w:val="00515596"/>
    <w:rsid w:val="00524625"/>
    <w:rsid w:val="005344B2"/>
    <w:rsid w:val="0054301B"/>
    <w:rsid w:val="00577848"/>
    <w:rsid w:val="005A1F1B"/>
    <w:rsid w:val="005B1C5F"/>
    <w:rsid w:val="005E4288"/>
    <w:rsid w:val="006109DE"/>
    <w:rsid w:val="00615043"/>
    <w:rsid w:val="00626754"/>
    <w:rsid w:val="00641944"/>
    <w:rsid w:val="006507BB"/>
    <w:rsid w:val="00652D07"/>
    <w:rsid w:val="0065357B"/>
    <w:rsid w:val="0068047C"/>
    <w:rsid w:val="006A1050"/>
    <w:rsid w:val="006E57FC"/>
    <w:rsid w:val="006F086A"/>
    <w:rsid w:val="00707EE7"/>
    <w:rsid w:val="00743607"/>
    <w:rsid w:val="007518B0"/>
    <w:rsid w:val="00760CE8"/>
    <w:rsid w:val="007B329E"/>
    <w:rsid w:val="007C3AE8"/>
    <w:rsid w:val="007D111A"/>
    <w:rsid w:val="007F0DF9"/>
    <w:rsid w:val="007F51E5"/>
    <w:rsid w:val="008276A7"/>
    <w:rsid w:val="008310DD"/>
    <w:rsid w:val="008F09DA"/>
    <w:rsid w:val="00906215"/>
    <w:rsid w:val="009164E1"/>
    <w:rsid w:val="00932C8E"/>
    <w:rsid w:val="0096021D"/>
    <w:rsid w:val="009C2FA8"/>
    <w:rsid w:val="009C7CFA"/>
    <w:rsid w:val="00A273AB"/>
    <w:rsid w:val="00A30312"/>
    <w:rsid w:val="00A742A4"/>
    <w:rsid w:val="00A90BA7"/>
    <w:rsid w:val="00AB2EB9"/>
    <w:rsid w:val="00AF0509"/>
    <w:rsid w:val="00B0422F"/>
    <w:rsid w:val="00B27E68"/>
    <w:rsid w:val="00B27EB6"/>
    <w:rsid w:val="00B8470E"/>
    <w:rsid w:val="00B94430"/>
    <w:rsid w:val="00BB1397"/>
    <w:rsid w:val="00C32213"/>
    <w:rsid w:val="00C82B9B"/>
    <w:rsid w:val="00CD4ED8"/>
    <w:rsid w:val="00D034D0"/>
    <w:rsid w:val="00D11C64"/>
    <w:rsid w:val="00D30907"/>
    <w:rsid w:val="00D50069"/>
    <w:rsid w:val="00D6295D"/>
    <w:rsid w:val="00DA5BBA"/>
    <w:rsid w:val="00DC25AD"/>
    <w:rsid w:val="00DD4EF3"/>
    <w:rsid w:val="00DE57C3"/>
    <w:rsid w:val="00E26D38"/>
    <w:rsid w:val="00E42FC7"/>
    <w:rsid w:val="00E519E0"/>
    <w:rsid w:val="00E556B9"/>
    <w:rsid w:val="00E65163"/>
    <w:rsid w:val="00E7040E"/>
    <w:rsid w:val="00EB4BC9"/>
    <w:rsid w:val="00EE1A1B"/>
    <w:rsid w:val="00F03F08"/>
    <w:rsid w:val="00F33EE9"/>
    <w:rsid w:val="00F523CC"/>
    <w:rsid w:val="00F7773B"/>
    <w:rsid w:val="00FC52F5"/>
    <w:rsid w:val="00FF3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754"/>
    <w:rPr>
      <w:rFonts w:ascii="Arial" w:eastAsia="Times New Roman" w:hAnsi="Arial" w:cs="Times New Roman"/>
      <w:color w:val="003366"/>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5163"/>
    <w:rPr>
      <w:sz w:val="20"/>
    </w:rPr>
  </w:style>
  <w:style w:type="character" w:customStyle="1" w:styleId="FootnoteTextChar">
    <w:name w:val="Footnote Text Char"/>
    <w:basedOn w:val="DefaultParagraphFont"/>
    <w:link w:val="FootnoteText"/>
    <w:uiPriority w:val="99"/>
    <w:semiHidden/>
    <w:rsid w:val="00E65163"/>
    <w:rPr>
      <w:rFonts w:ascii="Arial" w:eastAsia="Times New Roman" w:hAnsi="Arial" w:cs="Times New Roman"/>
      <w:color w:val="003366"/>
      <w:sz w:val="20"/>
      <w:szCs w:val="20"/>
      <w:lang w:eastAsia="hr-HR"/>
    </w:rPr>
  </w:style>
  <w:style w:type="character" w:styleId="FootnoteReference">
    <w:name w:val="footnote reference"/>
    <w:basedOn w:val="DefaultParagraphFont"/>
    <w:uiPriority w:val="99"/>
    <w:semiHidden/>
    <w:rsid w:val="00E65163"/>
    <w:rPr>
      <w:rFonts w:cs="Times New Roman"/>
      <w:vertAlign w:val="superscript"/>
    </w:rPr>
  </w:style>
  <w:style w:type="character" w:styleId="Hyperlink">
    <w:name w:val="Hyperlink"/>
    <w:basedOn w:val="DefaultParagraphFont"/>
    <w:uiPriority w:val="99"/>
    <w:rsid w:val="00E65163"/>
    <w:rPr>
      <w:rFonts w:cs="Times New Roman"/>
      <w:color w:val="0000FF"/>
      <w:u w:val="single"/>
    </w:rPr>
  </w:style>
  <w:style w:type="table" w:customStyle="1" w:styleId="TableGrid1">
    <w:name w:val="Table Grid1"/>
    <w:basedOn w:val="TableNormal"/>
    <w:next w:val="TableGrid"/>
    <w:uiPriority w:val="59"/>
    <w:rsid w:val="00E651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5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1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63"/>
    <w:rPr>
      <w:rFonts w:ascii="Tahoma" w:eastAsia="Times New Roman" w:hAnsi="Tahoma" w:cs="Tahoma"/>
      <w:color w:val="003366"/>
      <w:sz w:val="16"/>
      <w:szCs w:val="16"/>
      <w:lang w:eastAsia="hr-HR"/>
    </w:rPr>
  </w:style>
  <w:style w:type="character" w:styleId="FollowedHyperlink">
    <w:name w:val="FollowedHyperlink"/>
    <w:basedOn w:val="DefaultParagraphFont"/>
    <w:uiPriority w:val="99"/>
    <w:semiHidden/>
    <w:unhideWhenUsed/>
    <w:rsid w:val="00CD4ED8"/>
    <w:rPr>
      <w:color w:val="800080" w:themeColor="followedHyperlink"/>
      <w:u w:val="single"/>
    </w:rPr>
  </w:style>
  <w:style w:type="character" w:styleId="Strong">
    <w:name w:val="Strong"/>
    <w:basedOn w:val="DefaultParagraphFont"/>
    <w:uiPriority w:val="22"/>
    <w:qFormat/>
    <w:rsid w:val="00D30907"/>
    <w:rPr>
      <w:b/>
      <w:bCs/>
    </w:rPr>
  </w:style>
  <w:style w:type="character" w:customStyle="1" w:styleId="apple-converted-space">
    <w:name w:val="apple-converted-space"/>
    <w:basedOn w:val="DefaultParagraphFont"/>
    <w:rsid w:val="00D30907"/>
  </w:style>
  <w:style w:type="paragraph" w:styleId="ListParagraph">
    <w:name w:val="List Paragraph"/>
    <w:basedOn w:val="Normal"/>
    <w:uiPriority w:val="34"/>
    <w:qFormat/>
    <w:rsid w:val="00D30907"/>
    <w:pPr>
      <w:ind w:left="720"/>
      <w:contextualSpacing/>
    </w:pPr>
  </w:style>
  <w:style w:type="paragraph" w:styleId="Header">
    <w:name w:val="header"/>
    <w:basedOn w:val="Normal"/>
    <w:link w:val="HeaderChar"/>
    <w:uiPriority w:val="99"/>
    <w:unhideWhenUsed/>
    <w:rsid w:val="005A1F1B"/>
    <w:pPr>
      <w:tabs>
        <w:tab w:val="center" w:pos="4536"/>
        <w:tab w:val="right" w:pos="9072"/>
      </w:tabs>
      <w:spacing w:line="240" w:lineRule="auto"/>
    </w:pPr>
  </w:style>
  <w:style w:type="character" w:customStyle="1" w:styleId="HeaderChar">
    <w:name w:val="Header Char"/>
    <w:basedOn w:val="DefaultParagraphFont"/>
    <w:link w:val="Header"/>
    <w:uiPriority w:val="99"/>
    <w:rsid w:val="005A1F1B"/>
    <w:rPr>
      <w:rFonts w:ascii="Arial" w:eastAsia="Times New Roman" w:hAnsi="Arial" w:cs="Times New Roman"/>
      <w:color w:val="003366"/>
      <w:szCs w:val="20"/>
      <w:lang w:eastAsia="hr-HR"/>
    </w:rPr>
  </w:style>
  <w:style w:type="paragraph" w:styleId="Footer">
    <w:name w:val="footer"/>
    <w:basedOn w:val="Normal"/>
    <w:link w:val="FooterChar"/>
    <w:uiPriority w:val="99"/>
    <w:unhideWhenUsed/>
    <w:rsid w:val="005A1F1B"/>
    <w:pPr>
      <w:tabs>
        <w:tab w:val="center" w:pos="4536"/>
        <w:tab w:val="right" w:pos="9072"/>
      </w:tabs>
      <w:spacing w:line="240" w:lineRule="auto"/>
    </w:pPr>
  </w:style>
  <w:style w:type="character" w:customStyle="1" w:styleId="FooterChar">
    <w:name w:val="Footer Char"/>
    <w:basedOn w:val="DefaultParagraphFont"/>
    <w:link w:val="Footer"/>
    <w:uiPriority w:val="99"/>
    <w:rsid w:val="005A1F1B"/>
    <w:rPr>
      <w:rFonts w:ascii="Arial" w:eastAsia="Times New Roman" w:hAnsi="Arial" w:cs="Times New Roman"/>
      <w:color w:val="003366"/>
      <w:szCs w:val="20"/>
      <w:lang w:eastAsia="hr-HR"/>
    </w:rPr>
  </w:style>
  <w:style w:type="character" w:customStyle="1" w:styleId="cat-var-name1">
    <w:name w:val="cat-var-name1"/>
    <w:basedOn w:val="DefaultParagraphFont"/>
    <w:rsid w:val="008F0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754"/>
    <w:rPr>
      <w:rFonts w:ascii="Arial" w:eastAsia="Times New Roman" w:hAnsi="Arial" w:cs="Times New Roman"/>
      <w:color w:val="003366"/>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5163"/>
    <w:rPr>
      <w:sz w:val="20"/>
    </w:rPr>
  </w:style>
  <w:style w:type="character" w:customStyle="1" w:styleId="FootnoteTextChar">
    <w:name w:val="Footnote Text Char"/>
    <w:basedOn w:val="DefaultParagraphFont"/>
    <w:link w:val="FootnoteText"/>
    <w:uiPriority w:val="99"/>
    <w:semiHidden/>
    <w:rsid w:val="00E65163"/>
    <w:rPr>
      <w:rFonts w:ascii="Arial" w:eastAsia="Times New Roman" w:hAnsi="Arial" w:cs="Times New Roman"/>
      <w:color w:val="003366"/>
      <w:sz w:val="20"/>
      <w:szCs w:val="20"/>
      <w:lang w:eastAsia="hr-HR"/>
    </w:rPr>
  </w:style>
  <w:style w:type="character" w:styleId="FootnoteReference">
    <w:name w:val="footnote reference"/>
    <w:basedOn w:val="DefaultParagraphFont"/>
    <w:uiPriority w:val="99"/>
    <w:semiHidden/>
    <w:rsid w:val="00E65163"/>
    <w:rPr>
      <w:rFonts w:cs="Times New Roman"/>
      <w:vertAlign w:val="superscript"/>
    </w:rPr>
  </w:style>
  <w:style w:type="character" w:styleId="Hyperlink">
    <w:name w:val="Hyperlink"/>
    <w:basedOn w:val="DefaultParagraphFont"/>
    <w:uiPriority w:val="99"/>
    <w:rsid w:val="00E65163"/>
    <w:rPr>
      <w:rFonts w:cs="Times New Roman"/>
      <w:color w:val="0000FF"/>
      <w:u w:val="single"/>
    </w:rPr>
  </w:style>
  <w:style w:type="table" w:customStyle="1" w:styleId="TableGrid1">
    <w:name w:val="Table Grid1"/>
    <w:basedOn w:val="TableNormal"/>
    <w:next w:val="TableGrid"/>
    <w:uiPriority w:val="59"/>
    <w:rsid w:val="00E651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5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1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63"/>
    <w:rPr>
      <w:rFonts w:ascii="Tahoma" w:eastAsia="Times New Roman" w:hAnsi="Tahoma" w:cs="Tahoma"/>
      <w:color w:val="003366"/>
      <w:sz w:val="16"/>
      <w:szCs w:val="16"/>
      <w:lang w:eastAsia="hr-HR"/>
    </w:rPr>
  </w:style>
  <w:style w:type="character" w:styleId="FollowedHyperlink">
    <w:name w:val="FollowedHyperlink"/>
    <w:basedOn w:val="DefaultParagraphFont"/>
    <w:uiPriority w:val="99"/>
    <w:semiHidden/>
    <w:unhideWhenUsed/>
    <w:rsid w:val="00CD4ED8"/>
    <w:rPr>
      <w:color w:val="800080" w:themeColor="followedHyperlink"/>
      <w:u w:val="single"/>
    </w:rPr>
  </w:style>
  <w:style w:type="character" w:styleId="Strong">
    <w:name w:val="Strong"/>
    <w:basedOn w:val="DefaultParagraphFont"/>
    <w:uiPriority w:val="22"/>
    <w:qFormat/>
    <w:rsid w:val="00D30907"/>
    <w:rPr>
      <w:b/>
      <w:bCs/>
    </w:rPr>
  </w:style>
  <w:style w:type="character" w:customStyle="1" w:styleId="apple-converted-space">
    <w:name w:val="apple-converted-space"/>
    <w:basedOn w:val="DefaultParagraphFont"/>
    <w:rsid w:val="00D30907"/>
  </w:style>
  <w:style w:type="paragraph" w:styleId="ListParagraph">
    <w:name w:val="List Paragraph"/>
    <w:basedOn w:val="Normal"/>
    <w:uiPriority w:val="34"/>
    <w:qFormat/>
    <w:rsid w:val="00D30907"/>
    <w:pPr>
      <w:ind w:left="720"/>
      <w:contextualSpacing/>
    </w:pPr>
  </w:style>
  <w:style w:type="paragraph" w:styleId="Header">
    <w:name w:val="header"/>
    <w:basedOn w:val="Normal"/>
    <w:link w:val="HeaderChar"/>
    <w:uiPriority w:val="99"/>
    <w:unhideWhenUsed/>
    <w:rsid w:val="005A1F1B"/>
    <w:pPr>
      <w:tabs>
        <w:tab w:val="center" w:pos="4536"/>
        <w:tab w:val="right" w:pos="9072"/>
      </w:tabs>
      <w:spacing w:line="240" w:lineRule="auto"/>
    </w:pPr>
  </w:style>
  <w:style w:type="character" w:customStyle="1" w:styleId="HeaderChar">
    <w:name w:val="Header Char"/>
    <w:basedOn w:val="DefaultParagraphFont"/>
    <w:link w:val="Header"/>
    <w:uiPriority w:val="99"/>
    <w:rsid w:val="005A1F1B"/>
    <w:rPr>
      <w:rFonts w:ascii="Arial" w:eastAsia="Times New Roman" w:hAnsi="Arial" w:cs="Times New Roman"/>
      <w:color w:val="003366"/>
      <w:szCs w:val="20"/>
      <w:lang w:eastAsia="hr-HR"/>
    </w:rPr>
  </w:style>
  <w:style w:type="paragraph" w:styleId="Footer">
    <w:name w:val="footer"/>
    <w:basedOn w:val="Normal"/>
    <w:link w:val="FooterChar"/>
    <w:uiPriority w:val="99"/>
    <w:unhideWhenUsed/>
    <w:rsid w:val="005A1F1B"/>
    <w:pPr>
      <w:tabs>
        <w:tab w:val="center" w:pos="4536"/>
        <w:tab w:val="right" w:pos="9072"/>
      </w:tabs>
      <w:spacing w:line="240" w:lineRule="auto"/>
    </w:pPr>
  </w:style>
  <w:style w:type="character" w:customStyle="1" w:styleId="FooterChar">
    <w:name w:val="Footer Char"/>
    <w:basedOn w:val="DefaultParagraphFont"/>
    <w:link w:val="Footer"/>
    <w:uiPriority w:val="99"/>
    <w:rsid w:val="005A1F1B"/>
    <w:rPr>
      <w:rFonts w:ascii="Arial" w:eastAsia="Times New Roman" w:hAnsi="Arial" w:cs="Times New Roman"/>
      <w:color w:val="003366"/>
      <w:szCs w:val="20"/>
      <w:lang w:eastAsia="hr-HR"/>
    </w:rPr>
  </w:style>
  <w:style w:type="character" w:customStyle="1" w:styleId="cat-var-name1">
    <w:name w:val="cat-var-name1"/>
    <w:basedOn w:val="DefaultParagraphFont"/>
    <w:rsid w:val="008F0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00174">
      <w:bodyDiv w:val="1"/>
      <w:marLeft w:val="0"/>
      <w:marRight w:val="0"/>
      <w:marTop w:val="0"/>
      <w:marBottom w:val="0"/>
      <w:divBdr>
        <w:top w:val="none" w:sz="0" w:space="0" w:color="auto"/>
        <w:left w:val="none" w:sz="0" w:space="0" w:color="auto"/>
        <w:bottom w:val="none" w:sz="0" w:space="0" w:color="auto"/>
        <w:right w:val="none" w:sz="0" w:space="0" w:color="auto"/>
      </w:divBdr>
    </w:div>
    <w:div w:id="664012575">
      <w:bodyDiv w:val="1"/>
      <w:marLeft w:val="0"/>
      <w:marRight w:val="0"/>
      <w:marTop w:val="0"/>
      <w:marBottom w:val="0"/>
      <w:divBdr>
        <w:top w:val="none" w:sz="0" w:space="0" w:color="auto"/>
        <w:left w:val="none" w:sz="0" w:space="0" w:color="auto"/>
        <w:bottom w:val="none" w:sz="0" w:space="0" w:color="auto"/>
        <w:right w:val="none" w:sz="0" w:space="0" w:color="auto"/>
      </w:divBdr>
    </w:div>
    <w:div w:id="1502814780">
      <w:bodyDiv w:val="1"/>
      <w:marLeft w:val="0"/>
      <w:marRight w:val="0"/>
      <w:marTop w:val="0"/>
      <w:marBottom w:val="0"/>
      <w:divBdr>
        <w:top w:val="none" w:sz="0" w:space="0" w:color="auto"/>
        <w:left w:val="none" w:sz="0" w:space="0" w:color="auto"/>
        <w:bottom w:val="none" w:sz="0" w:space="0" w:color="auto"/>
        <w:right w:val="none" w:sz="0" w:space="0" w:color="auto"/>
      </w:divBdr>
    </w:div>
    <w:div w:id="1762412366">
      <w:bodyDiv w:val="1"/>
      <w:marLeft w:val="0"/>
      <w:marRight w:val="0"/>
      <w:marTop w:val="0"/>
      <w:marBottom w:val="0"/>
      <w:divBdr>
        <w:top w:val="none" w:sz="0" w:space="0" w:color="auto"/>
        <w:left w:val="none" w:sz="0" w:space="0" w:color="auto"/>
        <w:bottom w:val="none" w:sz="0" w:space="0" w:color="auto"/>
        <w:right w:val="none" w:sz="0" w:space="0" w:color="auto"/>
      </w:divBdr>
    </w:div>
    <w:div w:id="20754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rgfi.fina.hr/JavnaObjava-web/jsp/prijavaKorisnika.jsp" TargetMode="External"/><Relationship Id="rId26" Type="http://schemas.openxmlformats.org/officeDocument/2006/relationships/hyperlink" Target="http://www.fina.hr/lgs.axd?t=24&amp;id=15" TargetMode="External"/><Relationship Id="rId3" Type="http://schemas.openxmlformats.org/officeDocument/2006/relationships/styles" Target="styles.xml"/><Relationship Id="rId21" Type="http://schemas.openxmlformats.org/officeDocument/2006/relationships/hyperlink" Target="https://jrr.fina.hr/" TargetMode="External"/><Relationship Id="rId7" Type="http://schemas.openxmlformats.org/officeDocument/2006/relationships/footnotes" Target="footnotes.xml"/><Relationship Id="rId12" Type="http://schemas.openxmlformats.org/officeDocument/2006/relationships/hyperlink" Target="https://www.transparentno.hr/pregled/92510683607/31f3f55c439290b32c720d1601daa5622c52746a3db957915c198603a012ee2e6b6104f98783c7b6bc8331fae3dc9579b3649bd5d9ccf92821018f4d21345926" TargetMode="External"/><Relationship Id="rId17" Type="http://schemas.openxmlformats.org/officeDocument/2006/relationships/hyperlink" Target="http://www.fina.hr/Default.aspx?sec=1279"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fina.hr/Default.aspx?sec=153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tno.hr/pregled/20950636972/1968400e4a19932a0e30138791bb0267108d905d786fb80b3646ad7416cc32b4bcc0582597da966464e23ac4baa53c78df17a1a9e0414991cd8b207bb687799b" TargetMode="Externa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fina.hr/Default.aspx?sec=17" TargetMode="External"/><Relationship Id="rId28" Type="http://schemas.openxmlformats.org/officeDocument/2006/relationships/header" Target="header1.xml"/><Relationship Id="rId10" Type="http://schemas.openxmlformats.org/officeDocument/2006/relationships/hyperlink" Target="https://www.transparentno.hr/pregled/46665607676/fd42c8926336e531e2c70ec2ef723a9ebcc54324eff9024497faae16c88580493b558dba75ec2a85bfb87f11f844a414fbece34b3afb8fed98a60808f606c9a4" TargetMode="External"/><Relationship Id="rId19" Type="http://schemas.openxmlformats.org/officeDocument/2006/relationships/hyperlink" Target="https://www.transparentno.h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ansparentno.hr/pregled/86918255783/b4161d34103afcdba2873b631156dff255580ebeb87269804eda265ff1176dc2c3394613305afba31ab347301025d1081b4d6dc61a32baf54516e19a5b9fd789" TargetMode="External"/><Relationship Id="rId22" Type="http://schemas.openxmlformats.org/officeDocument/2006/relationships/hyperlink" Target="http://www.fina.hr/Default.aspx?sec=972" TargetMode="External"/><Relationship Id="rId27" Type="http://schemas.openxmlformats.org/officeDocument/2006/relationships/image" Target="media/image7.jpe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udreg.pravosudje.hr/registar/f?p=150:28:0::NO:28:P28_SBT_MBS:040255000#a_tekst_objave" TargetMode="External"/><Relationship Id="rId1" Type="http://schemas.openxmlformats.org/officeDocument/2006/relationships/hyperlink" Target="https://razvoj.gov.hr/prva-urbana-aglomeracija-u-republici-hrvatskoj-urbana-aglomeracija-rijeka/31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FEB89-2B2B-460F-95EC-DE1905DB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Jonjić</dc:creator>
  <cp:lastModifiedBy>admin</cp:lastModifiedBy>
  <cp:revision>2</cp:revision>
  <dcterms:created xsi:type="dcterms:W3CDTF">2017-09-15T13:50:00Z</dcterms:created>
  <dcterms:modified xsi:type="dcterms:W3CDTF">2017-09-15T13:50:00Z</dcterms:modified>
</cp:coreProperties>
</file>