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51" w:rsidRPr="00504551" w:rsidRDefault="00D846F8" w:rsidP="00E16DB5">
      <w:pPr>
        <w:spacing w:before="120" w:after="0" w:line="240" w:lineRule="auto"/>
        <w:jc w:val="center"/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</w:pPr>
      <w:r w:rsidRPr="00504551"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 xml:space="preserve">U RAZDOBLJU OD 2011. </w:t>
      </w:r>
      <w:r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>D</w:t>
      </w:r>
      <w:r w:rsidRPr="00504551"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 xml:space="preserve">O 2016. </w:t>
      </w:r>
      <w:r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>P</w:t>
      </w:r>
      <w:r w:rsidRPr="00504551"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 xml:space="preserve">ODUZETNICI </w:t>
      </w:r>
      <w:r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 xml:space="preserve">U RH </w:t>
      </w:r>
      <w:r w:rsidR="00E16DB5"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 xml:space="preserve">KONTINUIRANO </w:t>
      </w:r>
      <w:bookmarkStart w:id="0" w:name="_GoBack"/>
      <w:bookmarkEnd w:id="0"/>
      <w:r w:rsidRPr="00504551">
        <w:rPr>
          <w:rFonts w:ascii="Arial" w:eastAsia="Times New Roman" w:hAnsi="Arial" w:cs="Times New Roman"/>
          <w:b/>
          <w:color w:val="17365D"/>
          <w:sz w:val="21"/>
          <w:szCs w:val="21"/>
          <w:lang w:eastAsia="hr-HR"/>
        </w:rPr>
        <w:t>OSTVARUJU DOBIT</w:t>
      </w:r>
    </w:p>
    <w:p w:rsidR="006D65CF" w:rsidRPr="006D65CF" w:rsidRDefault="006D65CF" w:rsidP="00504CC3">
      <w:pPr>
        <w:spacing w:before="120" w:after="0" w:line="264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 2016. godini, poduzetnici Hrvatske, obveznici poreza na dobit ostvarili su 24 milijarde neto dobiti (dobit minus gubici razdoblja) što je 234,7</w:t>
      </w:r>
      <w:r w:rsidR="00504CC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više u odnosu na ostvarenu neto dobit u 2011. godini</w:t>
      </w:r>
      <w:r w:rsidRPr="006D65CF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(7,2 milijarde kuna). Dobit razdoblja u iznosu od 38,7 milijardi kuna ostvarilo je 76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 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546 poduzetnika, dok je gubitke razdoblja ukupne vrijednosti od 14,7 milijardi kuna iskazalo 37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 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937 poduzetnika.</w:t>
      </w:r>
    </w:p>
    <w:p w:rsidR="006D65CF" w:rsidRPr="006D65CF" w:rsidRDefault="006D65CF" w:rsidP="006D65CF">
      <w:pPr>
        <w:spacing w:before="120" w:after="0" w:line="264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Najveća neto dobit </w:t>
      </w:r>
      <w:r w:rsidR="00D846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razdoblju </w:t>
      </w:r>
      <w:r w:rsidR="00432CC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od 2010. do 2016. godine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ostvarena je </w:t>
      </w:r>
      <w:r w:rsidR="00432CC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prethodne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godin</w:t>
      </w:r>
      <w:r w:rsidR="00432CC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e</w:t>
      </w:r>
      <w:r w:rsidR="00D846F8">
        <w:rPr>
          <w:rStyle w:val="FootnoteReference"/>
          <w:rFonts w:ascii="Arial" w:eastAsia="Times New Roman" w:hAnsi="Arial" w:cs="Times New Roman"/>
          <w:color w:val="17365D"/>
          <w:sz w:val="20"/>
          <w:szCs w:val="20"/>
          <w:lang w:eastAsia="hr-HR"/>
        </w:rPr>
        <w:footnoteReference w:id="1"/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dok su u 2010.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godini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poduzetnici </w:t>
      </w:r>
      <w:r w:rsidR="00D846F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Hrvatskoj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poslovali negativno i iskazali neto gubitak u iznosu od 1,7 milijardi kuna. U razdoblju od 2011.</w:t>
      </w:r>
      <w:r w:rsidR="00504CC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do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2016. godine poduzetnici ponovno posluju pozitivno i ostvaruju neto dobiti.</w:t>
      </w:r>
    </w:p>
    <w:p w:rsidR="006D65CF" w:rsidRDefault="006D65CF" w:rsidP="006D65CF">
      <w:pPr>
        <w:keepNext/>
        <w:tabs>
          <w:tab w:val="right" w:pos="9639"/>
        </w:tabs>
        <w:spacing w:before="120" w:after="6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Tablica 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1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>Dobit</w:t>
      </w:r>
      <w:r w:rsidR="00FB0C8D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/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gubitak poduzetnika Hrvatske 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u razdoblju od 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2010. </w:t>
      </w:r>
      <w:r w:rsidR="00FB0C8D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do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2016. godine</w:t>
      </w:r>
      <w:r w:rsidRPr="006D65CF">
        <w:rPr>
          <w:rFonts w:ascii="Arial" w:eastAsia="Times New Roman" w:hAnsi="Arial" w:cs="Times New Roman"/>
          <w:b/>
          <w:bCs/>
          <w:color w:val="17365D"/>
          <w:sz w:val="20"/>
          <w:szCs w:val="20"/>
          <w:vertAlign w:val="superscript"/>
          <w:lang w:eastAsia="hr-HR"/>
        </w:rPr>
        <w:footnoteReference w:id="2"/>
      </w:r>
      <w:r w:rsidRPr="006D65CF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ab/>
      </w:r>
      <w:r w:rsidRPr="006D65CF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milijunima kuna)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064"/>
        <w:gridCol w:w="1064"/>
        <w:gridCol w:w="1064"/>
        <w:gridCol w:w="1064"/>
        <w:gridCol w:w="1064"/>
        <w:gridCol w:w="1064"/>
        <w:gridCol w:w="1065"/>
      </w:tblGrid>
      <w:tr w:rsidR="00FB0C8D" w:rsidTr="00FB0C8D">
        <w:trPr>
          <w:trHeight w:val="283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2010.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2011.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2012.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2013.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2014.</w:t>
            </w:r>
          </w:p>
        </w:tc>
        <w:tc>
          <w:tcPr>
            <w:tcW w:w="10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2015.</w:t>
            </w:r>
          </w:p>
        </w:tc>
        <w:tc>
          <w:tcPr>
            <w:tcW w:w="1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B0C8D" w:rsidRPr="006D65CF" w:rsidRDefault="00FB0C8D" w:rsidP="00FB0C8D">
            <w:pPr>
              <w:jc w:val="center"/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2016.</w:t>
            </w:r>
          </w:p>
        </w:tc>
      </w:tr>
      <w:tr w:rsidR="00FB0C8D" w:rsidTr="00FB0C8D">
        <w:trPr>
          <w:trHeight w:val="283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FB0C8D">
            <w:pP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34.228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38.262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38.388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34.639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39.147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41.858</w:t>
            </w:r>
          </w:p>
        </w:tc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45.702</w:t>
            </w:r>
          </w:p>
        </w:tc>
      </w:tr>
      <w:tr w:rsidR="00FB0C8D" w:rsidTr="00FB0C8D">
        <w:trPr>
          <w:trHeight w:val="283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FB0C8D">
            <w:pP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29.851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25.849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29.195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27.196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25.240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19.164</w:t>
            </w:r>
          </w:p>
        </w:tc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14.657</w:t>
            </w:r>
          </w:p>
        </w:tc>
      </w:tr>
      <w:tr w:rsidR="00FB0C8D" w:rsidTr="00FB0C8D">
        <w:trPr>
          <w:trHeight w:val="283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FB0C8D">
            <w:pP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6.040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5.234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4.252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3.914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4.153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5.554</w:t>
            </w:r>
          </w:p>
        </w:tc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7.010</w:t>
            </w:r>
          </w:p>
        </w:tc>
      </w:tr>
      <w:tr w:rsidR="00FB0C8D" w:rsidTr="00FB0C8D">
        <w:trPr>
          <w:trHeight w:val="283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FB0C8D">
            <w:pP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28.203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32.911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34.053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30.392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34.904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35.926</w:t>
            </w:r>
          </w:p>
        </w:tc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38.696</w:t>
            </w:r>
          </w:p>
        </w:tc>
      </w:tr>
      <w:tr w:rsidR="00FB0C8D" w:rsidTr="00FB0C8D">
        <w:trPr>
          <w:trHeight w:val="283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FB0C8D">
            <w:pP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29.866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25.731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29.112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26.862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25.150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18.786</w:t>
            </w:r>
          </w:p>
        </w:tc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14.661</w:t>
            </w:r>
          </w:p>
        </w:tc>
      </w:tr>
      <w:tr w:rsidR="00FB0C8D" w:rsidTr="00FB0C8D">
        <w:trPr>
          <w:trHeight w:val="283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FB0C8D">
            <w:pP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Konsolidirani fin. rezultat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-1.663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7.180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4.941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3.529</w:t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9.754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footnoteReference w:id="3"/>
            </w:r>
          </w:p>
        </w:tc>
        <w:tc>
          <w:tcPr>
            <w:tcW w:w="10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17.140</w:t>
            </w:r>
          </w:p>
        </w:tc>
        <w:tc>
          <w:tcPr>
            <w:tcW w:w="1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0C8D" w:rsidRPr="006D65CF" w:rsidRDefault="00FB0C8D" w:rsidP="00067FDA">
            <w:pPr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24.035</w:t>
            </w:r>
            <w:r w:rsidRPr="00FB0C8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vertAlign w:val="superscript"/>
                <w:lang w:eastAsia="hr-HR"/>
              </w:rPr>
              <w:t>1</w:t>
            </w:r>
          </w:p>
        </w:tc>
      </w:tr>
    </w:tbl>
    <w:p w:rsidR="006D65CF" w:rsidRPr="006D65CF" w:rsidRDefault="006D65CF" w:rsidP="006D65CF">
      <w:pPr>
        <w:spacing w:before="60" w:after="0" w:line="288" w:lineRule="auto"/>
        <w:jc w:val="both"/>
        <w:rPr>
          <w:rFonts w:ascii="Arial" w:eastAsia="Times New Roman" w:hAnsi="Arial" w:cs="Times New Roman"/>
          <w:color w:val="17365D"/>
          <w:sz w:val="16"/>
          <w:szCs w:val="16"/>
          <w:lang w:eastAsia="hr-HR"/>
        </w:rPr>
      </w:pPr>
      <w:r w:rsidRPr="006D65CF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6D65CF" w:rsidRPr="006D65CF" w:rsidRDefault="006D65CF" w:rsidP="00D846F8">
      <w:pPr>
        <w:spacing w:before="120" w:after="0" w:line="264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Relativno mali broj poduzetnika imao je vrlo značajan utjecaj u ukupno ostvarenoj dobiti razdoblja u 2016. godini. To potvrđuju podaci o udjelu prvih </w:t>
      </w:r>
      <w:r w:rsidR="004723E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10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poduzetnika po ostvarenoj dobiti razdoblja (dobit nakon oporezivanja) od 5,7 milijardi kuna što je 14,9</w:t>
      </w:r>
      <w:r w:rsidR="00FB0C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ukupno ostvarene dobiti razdoblja kod svih poduzetnika RH. Prvih </w:t>
      </w:r>
      <w:r w:rsidR="00FB0C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100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poduzetnika po dobiti razdoblja ostvarilo je 14,2 milijarde kuna ili 36,7</w:t>
      </w:r>
      <w:r w:rsidR="00FB0C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dobiti svih poduzetnika </w:t>
      </w:r>
      <w:r w:rsidR="00FB0C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RH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</w:p>
    <w:p w:rsidR="006D65CF" w:rsidRPr="006D65CF" w:rsidRDefault="006D65CF" w:rsidP="006D65CF">
      <w:pPr>
        <w:spacing w:before="120" w:after="0" w:line="264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Za razliku od prethodne</w:t>
      </w:r>
      <w:r w:rsidR="00FB0C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2015. </w:t>
      </w:r>
      <w:r w:rsidR="00FB0C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g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odine</w:t>
      </w:r>
      <w:r w:rsidR="00FB0C8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kada je </w:t>
      </w:r>
      <w:hyperlink r:id="rId8" w:history="1">
        <w:r w:rsidRPr="00FB0C8D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ADRIS GRUPA d.d.</w:t>
        </w:r>
      </w:hyperlink>
      <w:r w:rsidRPr="006D65C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ostvarila najveću dobit razdoblja, u 2016. godini najveću dobit razdoblja ostvarila je </w:t>
      </w:r>
      <w:hyperlink r:id="rId9" w:history="1">
        <w:r w:rsidRPr="0014785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HRVATSKA ELEKTROPRIVREDA d.d</w:t>
        </w:r>
      </w:hyperlink>
      <w:r w:rsidRPr="000B311C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(1,3 milijarde kuna, u odnosu na 1,6 milijardi kuna 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u 2015. 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>g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odini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), </w:t>
      </w:r>
      <w:hyperlink r:id="rId10" w:history="1">
        <w:r w:rsidRPr="0014785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HRVATSKI TELEKOM d.d</w:t>
        </w:r>
      </w:hyperlink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(908,8 milijuna 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kuna u 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odnosu na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893,5 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milij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>una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kuna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u 2015. godini)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hyperlink r:id="rId11" w:history="1">
        <w:r w:rsidRPr="00147852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HEP - Operator distribucijskog sustava d.o.o.</w:t>
        </w:r>
      </w:hyperlink>
      <w:r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>(667,1 milijun kuna u odnosu na 725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>2</w:t>
      </w:r>
      <w:r w:rsidRPr="00754C5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milijuna kuna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u 2015. godini).</w:t>
      </w:r>
    </w:p>
    <w:p w:rsidR="006D65CF" w:rsidRPr="006D65CF" w:rsidRDefault="006D65CF" w:rsidP="006D65CF">
      <w:pPr>
        <w:keepNext/>
        <w:tabs>
          <w:tab w:val="right" w:pos="9639"/>
        </w:tabs>
        <w:spacing w:before="180" w:after="60" w:line="240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2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.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</w:t>
      </w:r>
      <w:r w:rsidR="004723ED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10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po dobiti razdoblja 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u </w:t>
      </w:r>
      <w:r w:rsidRPr="006D65C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2016.</w:t>
      </w:r>
      <w:r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godini</w:t>
      </w:r>
      <w:r w:rsidRPr="006D65CF">
        <w:rPr>
          <w:rFonts w:ascii="Arial" w:eastAsia="Times New Roman" w:hAnsi="Arial" w:cs="Times New Roman"/>
          <w:b/>
          <w:bCs/>
          <w:color w:val="17365D"/>
          <w:sz w:val="20"/>
          <w:szCs w:val="20"/>
          <w:lang w:eastAsia="hr-HR"/>
        </w:rPr>
        <w:tab/>
      </w:r>
      <w:r w:rsidRPr="006D65CF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6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"/>
        <w:gridCol w:w="1246"/>
        <w:gridCol w:w="4647"/>
        <w:gridCol w:w="1066"/>
        <w:gridCol w:w="1118"/>
        <w:gridCol w:w="1047"/>
      </w:tblGrid>
      <w:tr w:rsidR="006D65CF" w:rsidRPr="006D65CF" w:rsidTr="00FB0C8D">
        <w:trPr>
          <w:cantSplit/>
          <w:trHeight w:val="311"/>
          <w:jc w:val="center"/>
        </w:trPr>
        <w:tc>
          <w:tcPr>
            <w:tcW w:w="567" w:type="dxa"/>
            <w:tcBorders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17365D" w:themeFill="text2" w:themeFillShade="BF"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R</w:t>
            </w:r>
            <w:r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ang</w:t>
            </w:r>
          </w:p>
        </w:tc>
        <w:tc>
          <w:tcPr>
            <w:tcW w:w="1246" w:type="dxa"/>
            <w:tcBorders>
              <w:left w:val="single" w:sz="6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17365D" w:themeFill="text2" w:themeFillShade="BF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4649" w:type="dxa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17365D" w:themeFill="text2" w:themeFillShade="BF"/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Naziv</w:t>
            </w:r>
          </w:p>
        </w:tc>
        <w:tc>
          <w:tcPr>
            <w:tcW w:w="1066" w:type="dxa"/>
            <w:tcBorders>
              <w:left w:val="single" w:sz="6" w:space="0" w:color="FFFFFF"/>
              <w:bottom w:val="single" w:sz="4" w:space="0" w:color="A6A6A6" w:themeColor="background1" w:themeShade="A6"/>
              <w:right w:val="single" w:sz="6" w:space="0" w:color="FFFFFF"/>
            </w:tcBorders>
            <w:shd w:val="clear" w:color="auto" w:fill="17365D" w:themeFill="text2" w:themeFillShade="BF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115" w:type="dxa"/>
            <w:tcBorders>
              <w:left w:val="single" w:sz="6" w:space="0" w:color="FFFFFF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17365D" w:themeFill="text2" w:themeFillShade="BF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  <w:t>Vlasništvo</w:t>
            </w:r>
          </w:p>
        </w:tc>
        <w:tc>
          <w:tcPr>
            <w:tcW w:w="1047" w:type="dxa"/>
            <w:tcBorders>
              <w:left w:val="single" w:sz="4" w:space="0" w:color="FFFFFF" w:themeColor="background1"/>
              <w:bottom w:val="single" w:sz="4" w:space="0" w:color="A6A6A6" w:themeColor="background1" w:themeShade="A6"/>
            </w:tcBorders>
            <w:shd w:val="clear" w:color="auto" w:fill="17365D" w:themeFill="text2" w:themeFillShade="BF"/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FFFFFF"/>
                <w:sz w:val="17"/>
                <w:szCs w:val="17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28921978587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HRVATSKA ELEKTROPRIVREDA d.d.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Državno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1.323.818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81793146560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F05BC1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 xml:space="preserve">Hrvatski Telekom </w:t>
            </w:r>
            <w:r w:rsidR="006D65CF"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d.d.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Mješovito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908.797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46830600751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 xml:space="preserve">HEP - </w:t>
            </w:r>
            <w:r w:rsidRPr="00FB0C8D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 xml:space="preserve">Operator distribucijskog sustava </w:t>
            </w: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Državno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667.087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96330310281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AUTOCESTA RIJEKA ZAGREB d.d.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Državno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589.711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44205501677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PLIVA HRVATSKA d.o.o.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554.754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09518585079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F05B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HEP</w:t>
            </w:r>
            <w:r w:rsidR="00F05BC1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-</w:t>
            </w:r>
            <w:r w:rsidR="00F05BC1"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Proizvodnja</w:t>
            </w: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Državno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428.288</w:t>
            </w:r>
          </w:p>
        </w:tc>
      </w:tr>
      <w:tr w:rsidR="006D65CF" w:rsidRPr="006D65CF" w:rsidTr="00FB0C8D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99175363728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HS PRODUKT d.o.o.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Privatno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377.922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36201212847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VALAMAR RIVIERA d.d.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bookmarkStart w:id="1" w:name="RANGE!E11"/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Mješovito</w:t>
            </w:r>
            <w:bookmarkEnd w:id="1"/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336.658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89018712265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JADRANSKI NAFTOVOD d.d.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Mješovito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290.492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2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13148821633</w:t>
            </w:r>
          </w:p>
        </w:tc>
        <w:tc>
          <w:tcPr>
            <w:tcW w:w="46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FB0C8D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 xml:space="preserve">Hrvatski operator prijenosnog sustava </w:t>
            </w: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0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Državno</w:t>
            </w:r>
          </w:p>
        </w:tc>
        <w:tc>
          <w:tcPr>
            <w:tcW w:w="10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271.673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8646" w:type="dxa"/>
            <w:gridSpan w:val="5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AA6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Ukupna dobit prvih </w:t>
            </w:r>
            <w:r w:rsidR="00AA6322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10</w:t>
            </w:r>
            <w:r w:rsidRPr="006D65CF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poduzetnika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75E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17375E"/>
                <w:sz w:val="18"/>
                <w:szCs w:val="18"/>
                <w:lang w:eastAsia="hr-HR"/>
              </w:rPr>
              <w:t>5.749.201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8646" w:type="dxa"/>
            <w:gridSpan w:val="5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Ukupno 114.483 poduzetnika u RH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75E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17375E"/>
                <w:sz w:val="18"/>
                <w:szCs w:val="18"/>
                <w:lang w:eastAsia="hr-HR"/>
              </w:rPr>
              <w:t>38.695.898</w:t>
            </w:r>
          </w:p>
        </w:tc>
      </w:tr>
      <w:tr w:rsidR="006D65CF" w:rsidRPr="006D65CF" w:rsidTr="006D65CF">
        <w:trPr>
          <w:cantSplit/>
          <w:jc w:val="center"/>
        </w:trPr>
        <w:tc>
          <w:tcPr>
            <w:tcW w:w="8646" w:type="dxa"/>
            <w:gridSpan w:val="5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Udio 10 najvećih poduzetnika po neto dobiti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:rsidR="006D65CF" w:rsidRPr="006D65CF" w:rsidRDefault="006D65CF" w:rsidP="006D65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7375E"/>
                <w:sz w:val="18"/>
                <w:szCs w:val="18"/>
                <w:lang w:eastAsia="hr-HR"/>
              </w:rPr>
            </w:pPr>
            <w:r w:rsidRPr="006D65CF">
              <w:rPr>
                <w:rFonts w:ascii="Arial" w:eastAsia="Times New Roman" w:hAnsi="Arial" w:cs="Arial"/>
                <w:b/>
                <w:color w:val="17375E"/>
                <w:sz w:val="18"/>
                <w:szCs w:val="18"/>
                <w:lang w:eastAsia="hr-HR"/>
              </w:rPr>
              <w:t>14,86%</w:t>
            </w:r>
          </w:p>
        </w:tc>
      </w:tr>
    </w:tbl>
    <w:p w:rsidR="00DB5805" w:rsidRPr="004723ED" w:rsidRDefault="006D65CF" w:rsidP="004723ED">
      <w:pPr>
        <w:spacing w:before="60" w:after="0" w:line="288" w:lineRule="auto"/>
        <w:jc w:val="both"/>
        <w:rPr>
          <w:sz w:val="16"/>
          <w:szCs w:val="16"/>
        </w:rPr>
      </w:pPr>
      <w:r w:rsidRPr="006D65CF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sectPr w:rsidR="00DB5805" w:rsidRPr="004723ED" w:rsidSect="00504551">
      <w:headerReference w:type="first" r:id="rId12"/>
      <w:type w:val="continuous"/>
      <w:pgSz w:w="11906" w:h="16838" w:code="9"/>
      <w:pgMar w:top="1134" w:right="1021" w:bottom="1134" w:left="1134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CC" w:rsidRDefault="00F763CC" w:rsidP="006D65CF">
      <w:pPr>
        <w:spacing w:after="0" w:line="240" w:lineRule="auto"/>
      </w:pPr>
      <w:r>
        <w:separator/>
      </w:r>
    </w:p>
  </w:endnote>
  <w:endnote w:type="continuationSeparator" w:id="0">
    <w:p w:rsidR="00F763CC" w:rsidRDefault="00F763CC" w:rsidP="006D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CC" w:rsidRDefault="00F763CC" w:rsidP="006D65CF">
      <w:pPr>
        <w:spacing w:after="0" w:line="240" w:lineRule="auto"/>
      </w:pPr>
      <w:r>
        <w:separator/>
      </w:r>
    </w:p>
  </w:footnote>
  <w:footnote w:type="continuationSeparator" w:id="0">
    <w:p w:rsidR="00F763CC" w:rsidRDefault="00F763CC" w:rsidP="006D65CF">
      <w:pPr>
        <w:spacing w:after="0" w:line="240" w:lineRule="auto"/>
      </w:pPr>
      <w:r>
        <w:continuationSeparator/>
      </w:r>
    </w:p>
  </w:footnote>
  <w:footnote w:id="1">
    <w:p w:rsidR="00D846F8" w:rsidRPr="00D846F8" w:rsidRDefault="00D846F8">
      <w:pPr>
        <w:pStyle w:val="FootnoteText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D846F8">
        <w:rPr>
          <w:rStyle w:val="FootnoteReference"/>
          <w:rFonts w:ascii="Arial" w:hAnsi="Arial" w:cs="Arial"/>
          <w:sz w:val="17"/>
          <w:szCs w:val="17"/>
        </w:rPr>
        <w:footnoteRef/>
      </w:r>
      <w:r w:rsidRPr="00D846F8">
        <w:rPr>
          <w:rFonts w:ascii="Arial" w:hAnsi="Arial" w:cs="Arial"/>
          <w:sz w:val="17"/>
          <w:szCs w:val="17"/>
        </w:rPr>
        <w:t xml:space="preserve"> </w:t>
      </w:r>
      <w:r w:rsidRPr="00D846F8">
        <w:rPr>
          <w:rFonts w:ascii="Arial" w:hAnsi="Arial" w:cs="Arial"/>
          <w:color w:val="244061" w:themeColor="accent1" w:themeShade="80"/>
          <w:sz w:val="17"/>
          <w:szCs w:val="17"/>
        </w:rPr>
        <w:t>U navedene rezultate nisu uključeni podaci za sva društava iz KONCERNA AGROKOR, jer je od njih 35, osam društava u Registar podnijelo godišnji financijski izvještaj za statističke i druge potrebe za 2016. godinu, a preostalih 27 to nije učinilo.</w:t>
      </w:r>
    </w:p>
  </w:footnote>
  <w:footnote w:id="2">
    <w:p w:rsidR="006D65CF" w:rsidRPr="00FB0C8D" w:rsidRDefault="006D65CF" w:rsidP="00FB0C8D">
      <w:pPr>
        <w:pStyle w:val="FootnoteText"/>
        <w:spacing w:before="4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FB0C8D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FB0C8D">
        <w:rPr>
          <w:rFonts w:ascii="Arial" w:hAnsi="Arial" w:cs="Arial"/>
          <w:color w:val="244061" w:themeColor="accent1" w:themeShade="80"/>
          <w:sz w:val="17"/>
          <w:szCs w:val="17"/>
        </w:rPr>
        <w:t xml:space="preserve"> Serija podataka u tablici za sve godine prikazana je iz godišnjeg financijskog izvještaja iz kolone tekuće godine.</w:t>
      </w:r>
    </w:p>
  </w:footnote>
  <w:footnote w:id="3">
    <w:p w:rsidR="00FB0C8D" w:rsidRPr="00504551" w:rsidRDefault="00FB0C8D" w:rsidP="004723ED">
      <w:pPr>
        <w:pStyle w:val="FootnoteText"/>
        <w:spacing w:before="4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FB0C8D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FB0C8D">
        <w:rPr>
          <w:rFonts w:ascii="Arial" w:hAnsi="Arial" w:cs="Arial"/>
          <w:color w:val="244061" w:themeColor="accent1" w:themeShade="80"/>
          <w:sz w:val="17"/>
          <w:szCs w:val="17"/>
        </w:rPr>
        <w:t xml:space="preserve"> Konsolidirani financijski rezultat </w:t>
      </w:r>
      <w:r w:rsidR="00504CC3">
        <w:rPr>
          <w:rFonts w:ascii="Arial" w:hAnsi="Arial" w:cs="Arial"/>
          <w:color w:val="244061" w:themeColor="accent1" w:themeShade="80"/>
          <w:sz w:val="17"/>
          <w:szCs w:val="17"/>
        </w:rPr>
        <w:t xml:space="preserve">bitno je </w:t>
      </w:r>
      <w:r w:rsidRPr="00FB0C8D">
        <w:rPr>
          <w:rFonts w:ascii="Arial" w:hAnsi="Arial" w:cs="Arial"/>
          <w:color w:val="244061" w:themeColor="accent1" w:themeShade="80"/>
          <w:sz w:val="17"/>
          <w:szCs w:val="17"/>
        </w:rPr>
        <w:t xml:space="preserve">smanjen jer je jedan poduzetnik, </w:t>
      </w:r>
      <w:r w:rsidRPr="00504551">
        <w:rPr>
          <w:rFonts w:ascii="Arial" w:hAnsi="Arial" w:cs="Arial"/>
          <w:color w:val="244061" w:themeColor="accent1" w:themeShade="80"/>
          <w:sz w:val="17"/>
          <w:szCs w:val="17"/>
        </w:rPr>
        <w:t xml:space="preserve">društvo </w:t>
      </w:r>
      <w:hyperlink r:id="rId1" w:history="1">
        <w:r w:rsidR="00504551" w:rsidRPr="00F05BC1">
          <w:rPr>
            <w:rStyle w:val="Hyperlink"/>
            <w:rFonts w:ascii="Arial" w:eastAsia="Times New Roman" w:hAnsi="Arial" w:cs="Arial"/>
            <w:color w:val="0000FF"/>
            <w:sz w:val="17"/>
            <w:szCs w:val="17"/>
            <w:lang w:eastAsia="hr-HR"/>
          </w:rPr>
          <w:t>H-ABDUCO d.o.o.</w:t>
        </w:r>
        <w:r w:rsidRPr="00F05BC1">
          <w:rPr>
            <w:rStyle w:val="Hyperlink"/>
            <w:rFonts w:ascii="Arial" w:hAnsi="Arial" w:cs="Arial"/>
            <w:color w:val="000080" w:themeColor="hyperlink" w:themeShade="80"/>
            <w:sz w:val="17"/>
            <w:szCs w:val="17"/>
          </w:rPr>
          <w:t>,</w:t>
        </w:r>
      </w:hyperlink>
      <w:r w:rsidRPr="00F05BC1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504551">
        <w:rPr>
          <w:rFonts w:ascii="Arial" w:hAnsi="Arial" w:cs="Arial"/>
          <w:color w:val="244061" w:themeColor="accent1" w:themeShade="80"/>
          <w:sz w:val="17"/>
          <w:szCs w:val="17"/>
        </w:rPr>
        <w:t>za 2014. godinu iskazalo gubitak razdoblja u iznosu od 4</w:t>
      </w:r>
      <w:r w:rsidR="00504551" w:rsidRPr="00504551">
        <w:rPr>
          <w:rFonts w:ascii="Arial" w:hAnsi="Arial" w:cs="Arial"/>
          <w:color w:val="244061" w:themeColor="accent1" w:themeShade="80"/>
          <w:sz w:val="17"/>
          <w:szCs w:val="17"/>
        </w:rPr>
        <w:t>,0</w:t>
      </w:r>
      <w:r w:rsidRPr="00504551">
        <w:rPr>
          <w:rFonts w:ascii="Arial" w:hAnsi="Arial" w:cs="Arial"/>
          <w:color w:val="244061" w:themeColor="accent1" w:themeShade="80"/>
          <w:sz w:val="17"/>
          <w:szCs w:val="17"/>
        </w:rPr>
        <w:t xml:space="preserve"> milijarde kuna</w:t>
      </w:r>
      <w:r w:rsidR="00504551">
        <w:rPr>
          <w:rFonts w:ascii="Arial" w:hAnsi="Arial" w:cs="Arial"/>
          <w:color w:val="244061" w:themeColor="accent1" w:themeShade="80"/>
          <w:sz w:val="17"/>
          <w:szCs w:val="17"/>
        </w:rPr>
        <w:t>.</w:t>
      </w:r>
      <w:r w:rsidR="00F05BC1">
        <w:rPr>
          <w:rFonts w:ascii="Arial" w:hAnsi="Arial" w:cs="Arial"/>
          <w:color w:val="244061" w:themeColor="accent1" w:themeShade="80"/>
          <w:sz w:val="17"/>
          <w:szCs w:val="17"/>
        </w:rPr>
        <w:t xml:space="preserve"> U 2016. godini isto je društvo ostvarilo dobit u iznosu od 214,7 milijuna 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8D" w:rsidRDefault="00FB0C8D" w:rsidP="00E16DB5">
    <w:pPr>
      <w:pStyle w:val="Header"/>
      <w:spacing w:after="120"/>
    </w:pPr>
    <w:r w:rsidRPr="00FB0C8D">
      <w:rPr>
        <w:rFonts w:ascii="Arial" w:eastAsia="Times New Roman" w:hAnsi="Arial" w:cs="Times New Roman"/>
        <w:noProof/>
        <w:color w:val="003366"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 wp14:anchorId="6DB05025" wp14:editId="1FFF9E91">
          <wp:simplePos x="0" y="0"/>
          <wp:positionH relativeFrom="column">
            <wp:posOffset>7620</wp:posOffset>
          </wp:positionH>
          <wp:positionV relativeFrom="paragraph">
            <wp:posOffset>60325</wp:posOffset>
          </wp:positionV>
          <wp:extent cx="1085513" cy="216000"/>
          <wp:effectExtent l="0" t="0" r="635" b="0"/>
          <wp:wrapNone/>
          <wp:docPr id="1" name="Slika 1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CF"/>
    <w:rsid w:val="000E2180"/>
    <w:rsid w:val="00207396"/>
    <w:rsid w:val="00432CC8"/>
    <w:rsid w:val="004723ED"/>
    <w:rsid w:val="00504551"/>
    <w:rsid w:val="00504CC3"/>
    <w:rsid w:val="006D65CF"/>
    <w:rsid w:val="00AA6322"/>
    <w:rsid w:val="00D846F8"/>
    <w:rsid w:val="00DB5805"/>
    <w:rsid w:val="00E16DB5"/>
    <w:rsid w:val="00E666D2"/>
    <w:rsid w:val="00F05BC1"/>
    <w:rsid w:val="00F763CC"/>
    <w:rsid w:val="00FA4501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6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5CF"/>
    <w:rPr>
      <w:sz w:val="20"/>
      <w:szCs w:val="20"/>
    </w:rPr>
  </w:style>
  <w:style w:type="character" w:styleId="FootnoteReference">
    <w:name w:val="footnote reference"/>
    <w:uiPriority w:val="99"/>
    <w:semiHidden/>
    <w:rsid w:val="006D65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65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8D"/>
  </w:style>
  <w:style w:type="paragraph" w:styleId="Footer">
    <w:name w:val="footer"/>
    <w:basedOn w:val="Normal"/>
    <w:link w:val="FooterChar"/>
    <w:uiPriority w:val="99"/>
    <w:unhideWhenUsed/>
    <w:rsid w:val="00FB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8D"/>
  </w:style>
  <w:style w:type="character" w:styleId="FollowedHyperlink">
    <w:name w:val="FollowedHyperlink"/>
    <w:basedOn w:val="DefaultParagraphFont"/>
    <w:uiPriority w:val="99"/>
    <w:semiHidden/>
    <w:unhideWhenUsed/>
    <w:rsid w:val="00F05B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6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5CF"/>
    <w:rPr>
      <w:sz w:val="20"/>
      <w:szCs w:val="20"/>
    </w:rPr>
  </w:style>
  <w:style w:type="character" w:styleId="FootnoteReference">
    <w:name w:val="footnote reference"/>
    <w:uiPriority w:val="99"/>
    <w:semiHidden/>
    <w:rsid w:val="006D65C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65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C8D"/>
  </w:style>
  <w:style w:type="paragraph" w:styleId="Footer">
    <w:name w:val="footer"/>
    <w:basedOn w:val="Normal"/>
    <w:link w:val="FooterChar"/>
    <w:uiPriority w:val="99"/>
    <w:unhideWhenUsed/>
    <w:rsid w:val="00FB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C8D"/>
  </w:style>
  <w:style w:type="character" w:styleId="FollowedHyperlink">
    <w:name w:val="FollowedHyperlink"/>
    <w:basedOn w:val="DefaultParagraphFont"/>
    <w:uiPriority w:val="99"/>
    <w:semiHidden/>
    <w:unhideWhenUsed/>
    <w:rsid w:val="00F05B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82023167977/ebea61bd54982f54366706fb437d0696b604f6b09705cd072b75dbd1d9789e7735621ae408d9d0597a4f6aeed0b194ae7d011eb71edb2997aea2af36544f5b8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46830600751/ca44734359e447f2f891a817bfb1e378535cdd01aa31ecf15437e326d214ef2158d1a02cc160228879a407dfae3fb29669d77cd81b10aa1cc37bcabcb62923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tno.hr/pregled/81793146560/bfe0263f9ec91aeec162ccdb106836d46c7a439fd3380e6b9d4a40afae5a59cbec465c90814fa7572c4c8d5f7ff9a65ff5212b5a28ce19400a59307fac82d9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28921978587/8be0e3e3e6e114cde6b6db0e48785e7af8144a59ede283e5af029af69c0b24620e9f3b6f05a2a4b62cfb13b042b45cf99a721a56e66c77d6cfa419eddea5239d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pregled/13667298928/47301c6c9f21b98cd563490d4d6dd9ede599e446d0f59a482f8c641827f58fb29dd9902f31d917e89974aca321633eac0de46a7acbb52c48ff6a52affd6705c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FFE2-9CCA-4622-B2B8-F9BCC5DE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Ivana Mioč</cp:lastModifiedBy>
  <cp:revision>4</cp:revision>
  <dcterms:created xsi:type="dcterms:W3CDTF">2017-08-07T07:48:00Z</dcterms:created>
  <dcterms:modified xsi:type="dcterms:W3CDTF">2017-08-08T06:59:00Z</dcterms:modified>
</cp:coreProperties>
</file>