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2640E8" w:rsidRPr="009E5E44" w:rsidRDefault="00D27342" w:rsidP="00DB2231">
      <w:pPr>
        <w:spacing w:before="40" w:line="240" w:lineRule="auto"/>
        <w:jc w:val="center"/>
        <w:rPr>
          <w:color w:val="17365D" w:themeColor="text2" w:themeShade="BF"/>
        </w:rPr>
      </w:pPr>
      <w:r w:rsidRPr="0046590F">
        <w:rPr>
          <w:rFonts w:cs="Arial"/>
          <w:b/>
          <w:color w:val="17365D" w:themeColor="text2" w:themeShade="BF"/>
          <w:szCs w:val="20"/>
        </w:rPr>
        <w:t>R</w:t>
      </w:r>
      <w:r w:rsidR="00A359F2" w:rsidRPr="0046590F">
        <w:rPr>
          <w:rFonts w:cs="Arial"/>
          <w:b/>
          <w:color w:val="17365D" w:themeColor="text2" w:themeShade="BF"/>
          <w:szCs w:val="20"/>
        </w:rPr>
        <w:t>EZULTATI</w:t>
      </w:r>
      <w:r w:rsidR="002640E8" w:rsidRPr="0046590F">
        <w:rPr>
          <w:rFonts w:cs="Arial"/>
          <w:b/>
          <w:color w:val="17365D" w:themeColor="text2" w:themeShade="BF"/>
          <w:szCs w:val="20"/>
        </w:rPr>
        <w:t xml:space="preserve"> PODUZETNIKA U DJELATNOSTI TRGOVINE NA MALO IGRAMA I IGRAČKAMA U SPECIJALIZIRANIM PR</w:t>
      </w:r>
      <w:r w:rsidR="00A8335B" w:rsidRPr="0046590F">
        <w:rPr>
          <w:rFonts w:cs="Arial"/>
          <w:b/>
          <w:color w:val="17365D" w:themeColor="text2" w:themeShade="BF"/>
          <w:szCs w:val="20"/>
        </w:rPr>
        <w:t>ODAVAONICAMA U RAZDOBLJU OD 20</w:t>
      </w:r>
      <w:r w:rsidR="000B74C1" w:rsidRPr="0046590F">
        <w:rPr>
          <w:rFonts w:cs="Arial"/>
          <w:b/>
          <w:color w:val="17365D" w:themeColor="text2" w:themeShade="BF"/>
          <w:szCs w:val="20"/>
        </w:rPr>
        <w:t>1</w:t>
      </w:r>
      <w:r w:rsidR="000920DD" w:rsidRPr="0046590F">
        <w:rPr>
          <w:rFonts w:cs="Arial"/>
          <w:b/>
          <w:color w:val="17365D" w:themeColor="text2" w:themeShade="BF"/>
          <w:szCs w:val="20"/>
        </w:rPr>
        <w:t>6</w:t>
      </w:r>
      <w:r w:rsidR="00A8335B" w:rsidRPr="0046590F">
        <w:rPr>
          <w:rFonts w:cs="Arial"/>
          <w:b/>
          <w:color w:val="17365D" w:themeColor="text2" w:themeShade="BF"/>
          <w:szCs w:val="20"/>
        </w:rPr>
        <w:t>. DO 20</w:t>
      </w:r>
      <w:r w:rsidR="000920DD" w:rsidRPr="0046590F">
        <w:rPr>
          <w:rFonts w:cs="Arial"/>
          <w:b/>
          <w:color w:val="17365D" w:themeColor="text2" w:themeShade="BF"/>
          <w:szCs w:val="20"/>
        </w:rPr>
        <w:t>20</w:t>
      </w:r>
      <w:r w:rsidR="002640E8" w:rsidRPr="0046590F">
        <w:rPr>
          <w:rFonts w:cs="Arial"/>
          <w:b/>
          <w:color w:val="17365D" w:themeColor="text2" w:themeShade="BF"/>
          <w:szCs w:val="20"/>
        </w:rPr>
        <w:t>. GODINE</w:t>
      </w:r>
    </w:p>
    <w:p w:rsidR="00B11B89" w:rsidRDefault="000920DD" w:rsidP="00BE756A">
      <w:pPr>
        <w:spacing w:before="120"/>
        <w:rPr>
          <w:rFonts w:cs="Arial"/>
          <w:color w:val="17365D" w:themeColor="text2" w:themeShade="BF"/>
          <w:szCs w:val="20"/>
        </w:rPr>
      </w:pPr>
      <w:r w:rsidRPr="0046590F">
        <w:rPr>
          <w:rFonts w:cs="Arial"/>
          <w:color w:val="17365D" w:themeColor="text2" w:themeShade="BF"/>
          <w:szCs w:val="20"/>
        </w:rPr>
        <w:t>U razdoblju od 2016. do 2020. godine, prema podacima iz obrađenih godišnjih financijskih izvještaja za statističke i druge potrebe, u djelatnosti trgovine na malo igrama i igračkama u specijaliziranim prodavaonicama najmanje poduzetnika bilo je u 2017. i 2019. godini (22), a najviše u 2016. i 2018. godini (27), dok je u 2020. poslovalo 25 poduzetnika. Najviše zaposlenih u ovom razredu djelatnosti bilo je 2016. godine (139), a  najmanje 2020. godine (109)</w:t>
      </w:r>
      <w:r w:rsidR="00B11B89" w:rsidRPr="0046590F">
        <w:rPr>
          <w:rFonts w:cs="Arial"/>
          <w:color w:val="17365D" w:themeColor="text2" w:themeShade="BF"/>
          <w:szCs w:val="20"/>
        </w:rPr>
        <w:t xml:space="preserve">. </w:t>
      </w:r>
      <w:r w:rsidR="00225037" w:rsidRPr="0046590F">
        <w:rPr>
          <w:rFonts w:cs="Arial"/>
          <w:color w:val="17365D" w:themeColor="text2" w:themeShade="BF"/>
          <w:szCs w:val="20"/>
        </w:rPr>
        <w:t>N</w:t>
      </w:r>
      <w:r w:rsidR="00B11B89" w:rsidRPr="0046590F">
        <w:rPr>
          <w:rFonts w:cs="Arial"/>
          <w:color w:val="17365D" w:themeColor="text2" w:themeShade="BF"/>
          <w:szCs w:val="20"/>
        </w:rPr>
        <w:t xml:space="preserve">ajveći </w:t>
      </w:r>
      <w:r w:rsidR="0047546B" w:rsidRPr="0046590F">
        <w:rPr>
          <w:rFonts w:cs="Arial"/>
          <w:color w:val="17365D" w:themeColor="text2" w:themeShade="BF"/>
          <w:szCs w:val="20"/>
        </w:rPr>
        <w:t xml:space="preserve">ukupni </w:t>
      </w:r>
      <w:r w:rsidR="00B11B89" w:rsidRPr="0046590F">
        <w:rPr>
          <w:rFonts w:cs="Arial"/>
          <w:color w:val="17365D" w:themeColor="text2" w:themeShade="BF"/>
          <w:szCs w:val="20"/>
        </w:rPr>
        <w:t>prihod</w:t>
      </w:r>
      <w:r w:rsidR="0047546B" w:rsidRPr="0046590F">
        <w:rPr>
          <w:rFonts w:cs="Arial"/>
          <w:color w:val="17365D" w:themeColor="text2" w:themeShade="BF"/>
          <w:szCs w:val="20"/>
        </w:rPr>
        <w:t>i</w:t>
      </w:r>
      <w:r w:rsidR="00B11B89" w:rsidRPr="0046590F">
        <w:rPr>
          <w:rFonts w:cs="Arial"/>
          <w:color w:val="17365D" w:themeColor="text2" w:themeShade="BF"/>
          <w:szCs w:val="20"/>
        </w:rPr>
        <w:t xml:space="preserve"> u proteklih pet godina</w:t>
      </w:r>
      <w:r w:rsidR="00225037" w:rsidRPr="0046590F">
        <w:rPr>
          <w:rFonts w:cs="Arial"/>
          <w:color w:val="17365D" w:themeColor="text2" w:themeShade="BF"/>
          <w:szCs w:val="20"/>
        </w:rPr>
        <w:t xml:space="preserve"> ostvaren</w:t>
      </w:r>
      <w:r w:rsidR="0047546B" w:rsidRPr="0046590F">
        <w:rPr>
          <w:rFonts w:cs="Arial"/>
          <w:color w:val="17365D" w:themeColor="text2" w:themeShade="BF"/>
          <w:szCs w:val="20"/>
        </w:rPr>
        <w:t xml:space="preserve">i su </w:t>
      </w:r>
      <w:r w:rsidR="00225037" w:rsidRPr="0046590F">
        <w:rPr>
          <w:rFonts w:cs="Arial"/>
          <w:color w:val="17365D" w:themeColor="text2" w:themeShade="BF"/>
          <w:szCs w:val="20"/>
        </w:rPr>
        <w:t>201</w:t>
      </w:r>
      <w:r w:rsidRPr="0046590F">
        <w:rPr>
          <w:rFonts w:cs="Arial"/>
          <w:color w:val="17365D" w:themeColor="text2" w:themeShade="BF"/>
          <w:szCs w:val="20"/>
        </w:rPr>
        <w:t>6</w:t>
      </w:r>
      <w:r w:rsidR="00225037" w:rsidRPr="0046590F">
        <w:rPr>
          <w:rFonts w:cs="Arial"/>
          <w:color w:val="17365D" w:themeColor="text2" w:themeShade="BF"/>
          <w:szCs w:val="20"/>
        </w:rPr>
        <w:t>. godine (</w:t>
      </w:r>
      <w:r w:rsidRPr="0046590F">
        <w:rPr>
          <w:rFonts w:cs="Arial"/>
          <w:color w:val="17365D" w:themeColor="text2" w:themeShade="BF"/>
          <w:szCs w:val="20"/>
        </w:rPr>
        <w:t>52,1</w:t>
      </w:r>
      <w:r w:rsidR="00225037" w:rsidRPr="0046590F">
        <w:rPr>
          <w:rFonts w:cs="Arial"/>
          <w:color w:val="17365D" w:themeColor="text2" w:themeShade="BF"/>
          <w:szCs w:val="20"/>
        </w:rPr>
        <w:t xml:space="preserve"> milijun kuna), </w:t>
      </w:r>
      <w:r w:rsidR="0047546B" w:rsidRPr="0046590F">
        <w:rPr>
          <w:rFonts w:cs="Arial"/>
          <w:color w:val="17365D" w:themeColor="text2" w:themeShade="BF"/>
          <w:szCs w:val="20"/>
        </w:rPr>
        <w:t xml:space="preserve">a </w:t>
      </w:r>
      <w:r w:rsidR="00225037" w:rsidRPr="0046590F">
        <w:rPr>
          <w:rFonts w:cs="Arial"/>
          <w:color w:val="17365D" w:themeColor="text2" w:themeShade="BF"/>
          <w:szCs w:val="20"/>
        </w:rPr>
        <w:t>najmanji 2019. godin</w:t>
      </w:r>
      <w:r w:rsidR="0047546B" w:rsidRPr="0046590F">
        <w:rPr>
          <w:rFonts w:cs="Arial"/>
          <w:color w:val="17365D" w:themeColor="text2" w:themeShade="BF"/>
          <w:szCs w:val="20"/>
        </w:rPr>
        <w:t>e</w:t>
      </w:r>
      <w:r w:rsidR="00225037" w:rsidRPr="0046590F">
        <w:rPr>
          <w:rFonts w:cs="Arial"/>
          <w:color w:val="17365D" w:themeColor="text2" w:themeShade="BF"/>
          <w:szCs w:val="20"/>
        </w:rPr>
        <w:t xml:space="preserve"> </w:t>
      </w:r>
      <w:r w:rsidR="004556B2" w:rsidRPr="0046590F">
        <w:rPr>
          <w:rFonts w:cs="Arial"/>
          <w:color w:val="17365D" w:themeColor="text2" w:themeShade="BF"/>
          <w:szCs w:val="20"/>
        </w:rPr>
        <w:t>(</w:t>
      </w:r>
      <w:r w:rsidR="00225037" w:rsidRPr="0046590F">
        <w:rPr>
          <w:rFonts w:cs="Arial"/>
          <w:color w:val="17365D" w:themeColor="text2" w:themeShade="BF"/>
          <w:szCs w:val="20"/>
        </w:rPr>
        <w:t>40,1 milijun kuna</w:t>
      </w:r>
      <w:r w:rsidR="004556B2" w:rsidRPr="0046590F">
        <w:rPr>
          <w:rFonts w:cs="Arial"/>
          <w:color w:val="17365D" w:themeColor="text2" w:themeShade="BF"/>
          <w:szCs w:val="20"/>
        </w:rPr>
        <w:t>)</w:t>
      </w:r>
      <w:r w:rsidR="00225037" w:rsidRPr="0046590F">
        <w:rPr>
          <w:rFonts w:cs="Arial"/>
          <w:color w:val="17365D" w:themeColor="text2" w:themeShade="BF"/>
          <w:szCs w:val="20"/>
        </w:rPr>
        <w:t xml:space="preserve">, </w:t>
      </w:r>
      <w:r w:rsidR="00C33466" w:rsidRPr="0046590F">
        <w:rPr>
          <w:rFonts w:cs="Arial"/>
          <w:color w:val="17365D" w:themeColor="text2" w:themeShade="BF"/>
          <w:szCs w:val="20"/>
        </w:rPr>
        <w:t xml:space="preserve">dok su u 2020. godini iznosili 44,6 milijuna kuna, </w:t>
      </w:r>
      <w:r w:rsidR="0047546B" w:rsidRPr="0046590F">
        <w:rPr>
          <w:rFonts w:cs="Arial"/>
          <w:color w:val="17365D" w:themeColor="text2" w:themeShade="BF"/>
          <w:szCs w:val="20"/>
        </w:rPr>
        <w:t xml:space="preserve">što je </w:t>
      </w:r>
      <w:r w:rsidR="00C33466" w:rsidRPr="0046590F">
        <w:rPr>
          <w:rFonts w:cs="Arial"/>
          <w:color w:val="17365D" w:themeColor="text2" w:themeShade="BF"/>
          <w:szCs w:val="20"/>
        </w:rPr>
        <w:t>14,5</w:t>
      </w:r>
      <w:r w:rsidR="00225037" w:rsidRPr="0046590F">
        <w:rPr>
          <w:rFonts w:cs="Arial"/>
          <w:color w:val="17365D" w:themeColor="text2" w:themeShade="BF"/>
          <w:szCs w:val="20"/>
        </w:rPr>
        <w:t>% manje</w:t>
      </w:r>
      <w:r w:rsidR="00B11B89" w:rsidRPr="0046590F">
        <w:rPr>
          <w:rFonts w:cs="Arial"/>
          <w:color w:val="17365D" w:themeColor="text2" w:themeShade="BF"/>
          <w:szCs w:val="20"/>
        </w:rPr>
        <w:t xml:space="preserve"> u odnosu na 201</w:t>
      </w:r>
      <w:r w:rsidR="00C33466" w:rsidRPr="0046590F">
        <w:rPr>
          <w:rFonts w:cs="Arial"/>
          <w:color w:val="17365D" w:themeColor="text2" w:themeShade="BF"/>
          <w:szCs w:val="20"/>
        </w:rPr>
        <w:t>6</w:t>
      </w:r>
      <w:r w:rsidR="00B11B89" w:rsidRPr="0046590F">
        <w:rPr>
          <w:rFonts w:cs="Arial"/>
          <w:color w:val="17365D" w:themeColor="text2" w:themeShade="BF"/>
          <w:szCs w:val="20"/>
        </w:rPr>
        <w:t>.</w:t>
      </w:r>
      <w:r w:rsidR="0047546B" w:rsidRPr="0046590F">
        <w:rPr>
          <w:rFonts w:cs="Arial"/>
          <w:color w:val="17365D" w:themeColor="text2" w:themeShade="BF"/>
          <w:szCs w:val="20"/>
        </w:rPr>
        <w:t xml:space="preserve"> godinu</w:t>
      </w:r>
      <w:r w:rsidR="00B11B89" w:rsidRPr="0046590F">
        <w:rPr>
          <w:rFonts w:cs="Arial"/>
          <w:color w:val="17365D" w:themeColor="text2" w:themeShade="BF"/>
          <w:szCs w:val="20"/>
        </w:rPr>
        <w:t>.</w:t>
      </w:r>
      <w:r w:rsidR="00CD6023" w:rsidRPr="0046590F">
        <w:rPr>
          <w:rFonts w:cs="Arial"/>
          <w:color w:val="17365D" w:themeColor="text2" w:themeShade="BF"/>
          <w:szCs w:val="20"/>
        </w:rPr>
        <w:t xml:space="preserve"> </w:t>
      </w:r>
      <w:r w:rsidR="00B11B89" w:rsidRPr="0046590F">
        <w:rPr>
          <w:rFonts w:cs="Arial"/>
          <w:color w:val="17365D" w:themeColor="text2" w:themeShade="BF"/>
          <w:szCs w:val="20"/>
        </w:rPr>
        <w:t xml:space="preserve">Od </w:t>
      </w:r>
      <w:r w:rsidR="00C33466" w:rsidRPr="0046590F">
        <w:rPr>
          <w:rFonts w:cs="Arial"/>
          <w:color w:val="17365D" w:themeColor="text2" w:themeShade="BF"/>
          <w:szCs w:val="20"/>
        </w:rPr>
        <w:t>25</w:t>
      </w:r>
      <w:r w:rsidR="00B11B89" w:rsidRPr="0046590F">
        <w:rPr>
          <w:rFonts w:cs="Arial"/>
          <w:color w:val="17365D" w:themeColor="text2" w:themeShade="BF"/>
          <w:szCs w:val="20"/>
        </w:rPr>
        <w:t xml:space="preserve"> poduzetnika </w:t>
      </w:r>
      <w:r w:rsidR="0047546B" w:rsidRPr="0046590F">
        <w:rPr>
          <w:rFonts w:cs="Arial"/>
          <w:color w:val="17365D" w:themeColor="text2" w:themeShade="BF"/>
          <w:szCs w:val="20"/>
        </w:rPr>
        <w:t xml:space="preserve">u </w:t>
      </w:r>
      <w:r w:rsidR="004556B2" w:rsidRPr="0046590F">
        <w:rPr>
          <w:rFonts w:cs="Arial"/>
          <w:color w:val="17365D" w:themeColor="text2" w:themeShade="BF"/>
          <w:szCs w:val="20"/>
        </w:rPr>
        <w:t>djelatnosti trgovine na malo igrama i igračkama u specijaliziranim prodavaonicama, u 20</w:t>
      </w:r>
      <w:r w:rsidR="00C33466" w:rsidRPr="0046590F">
        <w:rPr>
          <w:rFonts w:cs="Arial"/>
          <w:color w:val="17365D" w:themeColor="text2" w:themeShade="BF"/>
          <w:szCs w:val="20"/>
        </w:rPr>
        <w:t>20</w:t>
      </w:r>
      <w:r w:rsidR="004556B2" w:rsidRPr="0046590F">
        <w:rPr>
          <w:rFonts w:cs="Arial"/>
          <w:color w:val="17365D" w:themeColor="text2" w:themeShade="BF"/>
          <w:szCs w:val="20"/>
        </w:rPr>
        <w:t xml:space="preserve">. godini njih </w:t>
      </w:r>
      <w:r w:rsidR="0047546B" w:rsidRPr="0046590F">
        <w:rPr>
          <w:rFonts w:cs="Arial"/>
          <w:color w:val="17365D" w:themeColor="text2" w:themeShade="BF"/>
          <w:szCs w:val="20"/>
        </w:rPr>
        <w:t>13 (</w:t>
      </w:r>
      <w:r w:rsidR="00C33466" w:rsidRPr="0046590F">
        <w:rPr>
          <w:rFonts w:cs="Arial"/>
          <w:color w:val="17365D" w:themeColor="text2" w:themeShade="BF"/>
          <w:szCs w:val="20"/>
        </w:rPr>
        <w:t>52,0</w:t>
      </w:r>
      <w:r w:rsidR="004556B2" w:rsidRPr="0046590F">
        <w:rPr>
          <w:rFonts w:cs="Arial"/>
          <w:color w:val="17365D" w:themeColor="text2" w:themeShade="BF"/>
          <w:szCs w:val="20"/>
        </w:rPr>
        <w:t>%</w:t>
      </w:r>
      <w:r w:rsidR="0047546B" w:rsidRPr="0046590F">
        <w:rPr>
          <w:rFonts w:cs="Arial"/>
          <w:color w:val="17365D" w:themeColor="text2" w:themeShade="BF"/>
          <w:szCs w:val="20"/>
        </w:rPr>
        <w:t>)</w:t>
      </w:r>
      <w:r w:rsidR="00B11B89" w:rsidRPr="0046590F">
        <w:rPr>
          <w:rFonts w:cs="Arial"/>
          <w:color w:val="17365D" w:themeColor="text2" w:themeShade="BF"/>
          <w:szCs w:val="20"/>
        </w:rPr>
        <w:t xml:space="preserve"> poslovalo je s dobiti, dok je </w:t>
      </w:r>
      <w:r w:rsidR="00C33466" w:rsidRPr="0046590F">
        <w:rPr>
          <w:rFonts w:cs="Arial"/>
          <w:color w:val="17365D" w:themeColor="text2" w:themeShade="BF"/>
          <w:szCs w:val="20"/>
        </w:rPr>
        <w:t>12</w:t>
      </w:r>
      <w:r w:rsidR="0047546B" w:rsidRPr="0046590F">
        <w:rPr>
          <w:rFonts w:cs="Arial"/>
          <w:color w:val="17365D" w:themeColor="text2" w:themeShade="BF"/>
          <w:szCs w:val="20"/>
        </w:rPr>
        <w:t xml:space="preserve"> (</w:t>
      </w:r>
      <w:r w:rsidR="00C33466" w:rsidRPr="0046590F">
        <w:rPr>
          <w:rFonts w:cs="Arial"/>
          <w:color w:val="17365D" w:themeColor="text2" w:themeShade="BF"/>
          <w:szCs w:val="20"/>
        </w:rPr>
        <w:t>48,0</w:t>
      </w:r>
      <w:r w:rsidR="004556B2" w:rsidRPr="0046590F">
        <w:rPr>
          <w:rFonts w:cs="Arial"/>
          <w:color w:val="17365D" w:themeColor="text2" w:themeShade="BF"/>
          <w:szCs w:val="20"/>
        </w:rPr>
        <w:t>%</w:t>
      </w:r>
      <w:r w:rsidR="0047546B" w:rsidRPr="0046590F">
        <w:rPr>
          <w:rFonts w:cs="Arial"/>
          <w:color w:val="17365D" w:themeColor="text2" w:themeShade="BF"/>
          <w:szCs w:val="20"/>
        </w:rPr>
        <w:t>)</w:t>
      </w:r>
      <w:r w:rsidR="00B11B89" w:rsidRPr="0046590F">
        <w:rPr>
          <w:rFonts w:cs="Arial"/>
          <w:color w:val="17365D" w:themeColor="text2" w:themeShade="BF"/>
          <w:szCs w:val="20"/>
        </w:rPr>
        <w:t xml:space="preserve"> iskazalo gubitak razdoblja.</w:t>
      </w:r>
    </w:p>
    <w:p w:rsidR="002640E8" w:rsidRDefault="002640E8" w:rsidP="00CF37A6">
      <w:pPr>
        <w:tabs>
          <w:tab w:val="left" w:pos="1134"/>
          <w:tab w:val="left" w:pos="8080"/>
        </w:tabs>
        <w:spacing w:before="180" w:after="40" w:line="240" w:lineRule="auto"/>
        <w:ind w:left="1134" w:hanging="1134"/>
        <w:jc w:val="left"/>
        <w:rPr>
          <w:rFonts w:cs="Arial"/>
          <w:color w:val="17365D" w:themeColor="text2" w:themeShade="BF"/>
          <w:sz w:val="16"/>
          <w:szCs w:val="16"/>
          <w:lang w:eastAsia="hr-HR"/>
        </w:rPr>
      </w:pPr>
      <w:r w:rsidRPr="0046590F">
        <w:rPr>
          <w:rFonts w:cs="Arial"/>
          <w:b/>
          <w:color w:val="17365D" w:themeColor="text2" w:themeShade="BF"/>
          <w:sz w:val="18"/>
          <w:szCs w:val="18"/>
          <w:lang w:eastAsia="hr-HR"/>
        </w:rPr>
        <w:t>Tablica 1.</w:t>
      </w:r>
      <w:r w:rsidRPr="0046590F">
        <w:rPr>
          <w:rFonts w:cs="Arial"/>
          <w:b/>
          <w:color w:val="17365D" w:themeColor="text2" w:themeShade="BF"/>
          <w:sz w:val="18"/>
          <w:szCs w:val="18"/>
          <w:lang w:eastAsia="hr-HR"/>
        </w:rPr>
        <w:tab/>
        <w:t>Osnovni financijski rezultati poslovanja poduzetnika u djelatnosti 47.65 – Trgovina na malo igrama i igračkama u specijaliziranim prodavaonicama</w:t>
      </w:r>
      <w:r w:rsidR="00F311D7" w:rsidRPr="0046590F">
        <w:rPr>
          <w:rFonts w:cs="Arial"/>
          <w:b/>
          <w:color w:val="17365D" w:themeColor="text2" w:themeShade="BF"/>
          <w:sz w:val="18"/>
          <w:szCs w:val="18"/>
          <w:lang w:eastAsia="hr-HR"/>
        </w:rPr>
        <w:t>,</w:t>
      </w:r>
      <w:r w:rsidRPr="0046590F">
        <w:rPr>
          <w:rFonts w:cs="Arial"/>
          <w:b/>
          <w:color w:val="17365D" w:themeColor="text2" w:themeShade="BF"/>
          <w:sz w:val="18"/>
          <w:szCs w:val="18"/>
          <w:lang w:eastAsia="hr-HR"/>
        </w:rPr>
        <w:t xml:space="preserve"> za razdoblje od 20</w:t>
      </w:r>
      <w:r w:rsidR="00F311D7" w:rsidRPr="0046590F">
        <w:rPr>
          <w:rFonts w:cs="Arial"/>
          <w:b/>
          <w:color w:val="17365D" w:themeColor="text2" w:themeShade="BF"/>
          <w:sz w:val="18"/>
          <w:szCs w:val="18"/>
          <w:lang w:eastAsia="hr-HR"/>
        </w:rPr>
        <w:t>1</w:t>
      </w:r>
      <w:r w:rsidR="00133383" w:rsidRPr="0046590F">
        <w:rPr>
          <w:rFonts w:cs="Arial"/>
          <w:b/>
          <w:color w:val="17365D" w:themeColor="text2" w:themeShade="BF"/>
          <w:sz w:val="18"/>
          <w:szCs w:val="18"/>
          <w:lang w:eastAsia="hr-HR"/>
        </w:rPr>
        <w:t>6</w:t>
      </w:r>
      <w:r w:rsidR="00A8335B" w:rsidRPr="0046590F">
        <w:rPr>
          <w:rFonts w:cs="Arial"/>
          <w:b/>
          <w:color w:val="17365D" w:themeColor="text2" w:themeShade="BF"/>
          <w:sz w:val="18"/>
          <w:szCs w:val="18"/>
          <w:lang w:eastAsia="hr-HR"/>
        </w:rPr>
        <w:t>.</w:t>
      </w:r>
      <w:r w:rsidR="00BD2525" w:rsidRPr="0046590F">
        <w:rPr>
          <w:rFonts w:cs="Arial"/>
          <w:b/>
          <w:color w:val="17365D" w:themeColor="text2" w:themeShade="BF"/>
          <w:sz w:val="18"/>
          <w:szCs w:val="18"/>
          <w:lang w:eastAsia="hr-HR"/>
        </w:rPr>
        <w:t xml:space="preserve"> do </w:t>
      </w:r>
      <w:r w:rsidR="00A8335B" w:rsidRPr="0046590F">
        <w:rPr>
          <w:rFonts w:cs="Arial"/>
          <w:b/>
          <w:color w:val="17365D" w:themeColor="text2" w:themeShade="BF"/>
          <w:sz w:val="18"/>
          <w:szCs w:val="18"/>
          <w:lang w:eastAsia="hr-HR"/>
        </w:rPr>
        <w:t>20</w:t>
      </w:r>
      <w:r w:rsidR="00133383" w:rsidRPr="0046590F">
        <w:rPr>
          <w:rFonts w:cs="Arial"/>
          <w:b/>
          <w:color w:val="17365D" w:themeColor="text2" w:themeShade="BF"/>
          <w:sz w:val="18"/>
          <w:szCs w:val="18"/>
          <w:lang w:eastAsia="hr-HR"/>
        </w:rPr>
        <w:t>20</w:t>
      </w:r>
      <w:r w:rsidRPr="0046590F">
        <w:rPr>
          <w:rFonts w:cs="Arial"/>
          <w:b/>
          <w:color w:val="17365D" w:themeColor="text2" w:themeShade="BF"/>
          <w:sz w:val="18"/>
          <w:szCs w:val="18"/>
          <w:lang w:eastAsia="hr-HR"/>
        </w:rPr>
        <w:t>. g</w:t>
      </w:r>
      <w:r w:rsidR="00133383" w:rsidRPr="0046590F">
        <w:rPr>
          <w:rFonts w:cs="Arial"/>
          <w:b/>
          <w:color w:val="17365D" w:themeColor="text2" w:themeShade="BF"/>
          <w:sz w:val="18"/>
          <w:szCs w:val="18"/>
          <w:lang w:eastAsia="hr-HR"/>
        </w:rPr>
        <w:t>odine</w:t>
      </w:r>
      <w:r w:rsidR="00133383" w:rsidRPr="0046590F">
        <w:rPr>
          <w:rFonts w:cs="Arial"/>
          <w:color w:val="17365D" w:themeColor="text2" w:themeShade="BF"/>
          <w:sz w:val="18"/>
          <w:szCs w:val="18"/>
          <w:lang w:eastAsia="hr-HR"/>
        </w:rPr>
        <w:t xml:space="preserve">      </w:t>
      </w:r>
      <w:r w:rsidRPr="0046590F">
        <w:rPr>
          <w:rFonts w:cs="Arial"/>
          <w:color w:val="17365D" w:themeColor="text2" w:themeShade="BF"/>
          <w:sz w:val="16"/>
          <w:szCs w:val="16"/>
          <w:lang w:eastAsia="hr-HR"/>
        </w:rPr>
        <w:t>(iznosi u tis</w:t>
      </w:r>
      <w:r w:rsidR="0047546B" w:rsidRPr="0046590F">
        <w:rPr>
          <w:rFonts w:cs="Arial"/>
          <w:color w:val="17365D" w:themeColor="text2" w:themeShade="BF"/>
          <w:sz w:val="16"/>
          <w:szCs w:val="16"/>
          <w:lang w:eastAsia="hr-HR"/>
        </w:rPr>
        <w:t>.</w:t>
      </w:r>
      <w:r w:rsidRPr="0046590F">
        <w:rPr>
          <w:rFonts w:cs="Arial"/>
          <w:color w:val="17365D" w:themeColor="text2" w:themeShade="BF"/>
          <w:sz w:val="16"/>
          <w:szCs w:val="16"/>
          <w:lang w:eastAsia="hr-HR"/>
        </w:rPr>
        <w:t xml:space="preserve"> kuna)</w:t>
      </w:r>
    </w:p>
    <w:tbl>
      <w:tblPr>
        <w:tblW w:w="9942" w:type="dxa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944"/>
        <w:gridCol w:w="850"/>
        <w:gridCol w:w="851"/>
        <w:gridCol w:w="850"/>
        <w:gridCol w:w="851"/>
        <w:gridCol w:w="814"/>
        <w:gridCol w:w="782"/>
      </w:tblGrid>
      <w:tr w:rsidR="00133383" w:rsidRPr="00133383" w:rsidTr="00133383">
        <w:trPr>
          <w:trHeight w:hRule="exact" w:val="278"/>
          <w:jc w:val="center"/>
        </w:trPr>
        <w:tc>
          <w:tcPr>
            <w:tcW w:w="4944" w:type="dxa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244062"/>
            <w:vAlign w:val="center"/>
            <w:hideMark/>
          </w:tcPr>
          <w:p w:rsidR="00133383" w:rsidRPr="00133383" w:rsidRDefault="00133383" w:rsidP="00133383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6"/>
                <w:szCs w:val="16"/>
              </w:rPr>
            </w:pPr>
            <w:r w:rsidRPr="00133383">
              <w:rPr>
                <w:rFonts w:eastAsia="Times New Roman" w:cs="Arial"/>
                <w:b/>
                <w:bCs/>
                <w:color w:val="FFFFFF"/>
                <w:sz w:val="16"/>
                <w:szCs w:val="16"/>
              </w:rPr>
              <w:t>Opis</w:t>
            </w:r>
          </w:p>
        </w:tc>
        <w:tc>
          <w:tcPr>
            <w:tcW w:w="4998" w:type="dxa"/>
            <w:gridSpan w:val="6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244062"/>
            <w:vAlign w:val="center"/>
            <w:hideMark/>
          </w:tcPr>
          <w:p w:rsidR="00133383" w:rsidRPr="00133383" w:rsidRDefault="00133383" w:rsidP="00133383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6"/>
                <w:szCs w:val="16"/>
              </w:rPr>
            </w:pPr>
            <w:r w:rsidRPr="00133383">
              <w:rPr>
                <w:rFonts w:eastAsia="Times New Roman" w:cs="Arial"/>
                <w:b/>
                <w:bCs/>
                <w:color w:val="FFFFFF"/>
                <w:sz w:val="16"/>
                <w:szCs w:val="16"/>
              </w:rPr>
              <w:t>Razred djelatnosti 47.65</w:t>
            </w:r>
            <w:r w:rsidRPr="00133383">
              <w:rPr>
                <w:rFonts w:eastAsia="Times New Roman" w:cs="Arial"/>
                <w:b/>
                <w:bCs/>
                <w:color w:val="FFFFFF"/>
                <w:sz w:val="16"/>
                <w:szCs w:val="16"/>
              </w:rPr>
              <w:br/>
            </w:r>
            <w:r w:rsidRPr="00133383">
              <w:rPr>
                <w:rFonts w:eastAsia="Times New Roman" w:cs="Arial"/>
                <w:color w:val="FFFFFF"/>
                <w:sz w:val="14"/>
                <w:szCs w:val="16"/>
              </w:rPr>
              <w:t>(tekuće razdoblje iz godišnjeg financijskog izvještaja)</w:t>
            </w:r>
          </w:p>
        </w:tc>
      </w:tr>
      <w:tr w:rsidR="00133383" w:rsidRPr="00133383" w:rsidTr="002B7ED9">
        <w:trPr>
          <w:trHeight w:val="184"/>
          <w:jc w:val="center"/>
        </w:trPr>
        <w:tc>
          <w:tcPr>
            <w:tcW w:w="4944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133383" w:rsidRPr="00133383" w:rsidRDefault="00133383" w:rsidP="00133383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4998" w:type="dxa"/>
            <w:gridSpan w:val="6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133383" w:rsidRPr="00133383" w:rsidRDefault="00133383" w:rsidP="00133383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FFFFFF"/>
                <w:sz w:val="16"/>
                <w:szCs w:val="16"/>
              </w:rPr>
            </w:pPr>
          </w:p>
        </w:tc>
      </w:tr>
      <w:tr w:rsidR="00133383" w:rsidRPr="00133383" w:rsidTr="002B7ED9">
        <w:trPr>
          <w:trHeight w:hRule="exact" w:val="391"/>
          <w:jc w:val="center"/>
        </w:trPr>
        <w:tc>
          <w:tcPr>
            <w:tcW w:w="4944" w:type="dxa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:rsidR="00133383" w:rsidRPr="00133383" w:rsidRDefault="00133383" w:rsidP="00133383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244062"/>
            <w:noWrap/>
            <w:vAlign w:val="center"/>
            <w:hideMark/>
          </w:tcPr>
          <w:p w:rsidR="00133383" w:rsidRPr="00133383" w:rsidRDefault="00133383" w:rsidP="00133383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5"/>
                <w:szCs w:val="15"/>
              </w:rPr>
            </w:pPr>
            <w:r w:rsidRPr="00133383">
              <w:rPr>
                <w:rFonts w:eastAsia="Times New Roman" w:cs="Arial"/>
                <w:b/>
                <w:bCs/>
                <w:color w:val="FFFFFF"/>
                <w:sz w:val="15"/>
                <w:szCs w:val="15"/>
              </w:rPr>
              <w:t>2016.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244062"/>
            <w:noWrap/>
            <w:vAlign w:val="center"/>
            <w:hideMark/>
          </w:tcPr>
          <w:p w:rsidR="00133383" w:rsidRPr="00133383" w:rsidRDefault="00133383" w:rsidP="00133383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5"/>
                <w:szCs w:val="15"/>
              </w:rPr>
            </w:pPr>
            <w:r w:rsidRPr="00133383">
              <w:rPr>
                <w:rFonts w:eastAsia="Times New Roman" w:cs="Arial"/>
                <w:b/>
                <w:bCs/>
                <w:color w:val="FFFFFF"/>
                <w:sz w:val="15"/>
                <w:szCs w:val="15"/>
              </w:rPr>
              <w:t>2017.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244062"/>
            <w:noWrap/>
            <w:vAlign w:val="center"/>
            <w:hideMark/>
          </w:tcPr>
          <w:p w:rsidR="00133383" w:rsidRPr="00133383" w:rsidRDefault="00133383" w:rsidP="00133383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5"/>
                <w:szCs w:val="15"/>
              </w:rPr>
            </w:pPr>
            <w:r w:rsidRPr="00133383">
              <w:rPr>
                <w:rFonts w:eastAsia="Times New Roman" w:cs="Arial"/>
                <w:b/>
                <w:bCs/>
                <w:color w:val="FFFFFF"/>
                <w:sz w:val="15"/>
                <w:szCs w:val="15"/>
              </w:rPr>
              <w:t>2018.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244062"/>
            <w:noWrap/>
            <w:vAlign w:val="center"/>
            <w:hideMark/>
          </w:tcPr>
          <w:p w:rsidR="00133383" w:rsidRPr="00133383" w:rsidRDefault="00133383" w:rsidP="00133383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5"/>
                <w:szCs w:val="15"/>
              </w:rPr>
            </w:pPr>
            <w:r w:rsidRPr="00133383">
              <w:rPr>
                <w:rFonts w:eastAsia="Times New Roman" w:cs="Arial"/>
                <w:b/>
                <w:bCs/>
                <w:color w:val="FFFFFF"/>
                <w:sz w:val="15"/>
                <w:szCs w:val="15"/>
              </w:rPr>
              <w:t>2019.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244062"/>
            <w:noWrap/>
            <w:vAlign w:val="center"/>
            <w:hideMark/>
          </w:tcPr>
          <w:p w:rsidR="00133383" w:rsidRPr="00133383" w:rsidRDefault="00133383" w:rsidP="00133383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5"/>
                <w:szCs w:val="15"/>
              </w:rPr>
            </w:pPr>
            <w:r w:rsidRPr="00133383">
              <w:rPr>
                <w:rFonts w:eastAsia="Times New Roman" w:cs="Arial"/>
                <w:b/>
                <w:bCs/>
                <w:color w:val="FFFFFF"/>
                <w:sz w:val="15"/>
                <w:szCs w:val="15"/>
              </w:rPr>
              <w:t>2020.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244062"/>
            <w:vAlign w:val="center"/>
            <w:hideMark/>
          </w:tcPr>
          <w:p w:rsidR="00133383" w:rsidRPr="00133383" w:rsidRDefault="00133383" w:rsidP="00133383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5"/>
                <w:szCs w:val="15"/>
              </w:rPr>
            </w:pPr>
            <w:r w:rsidRPr="00133383">
              <w:rPr>
                <w:rFonts w:eastAsia="Times New Roman" w:cs="Arial"/>
                <w:b/>
                <w:bCs/>
                <w:color w:val="FFFFFF"/>
                <w:sz w:val="13"/>
                <w:szCs w:val="15"/>
              </w:rPr>
              <w:t>Indeks</w:t>
            </w:r>
            <w:r w:rsidRPr="00133383">
              <w:rPr>
                <w:rFonts w:eastAsia="Times New Roman" w:cs="Arial"/>
                <w:b/>
                <w:bCs/>
                <w:color w:val="FFFFFF"/>
                <w:sz w:val="13"/>
                <w:szCs w:val="15"/>
              </w:rPr>
              <w:br/>
              <w:t>2020./16</w:t>
            </w:r>
            <w:r w:rsidRPr="00133383">
              <w:rPr>
                <w:rFonts w:eastAsia="Times New Roman" w:cs="Arial"/>
                <w:b/>
                <w:bCs/>
                <w:color w:val="FFFFFF"/>
                <w:sz w:val="15"/>
                <w:szCs w:val="15"/>
              </w:rPr>
              <w:t>.</w:t>
            </w:r>
          </w:p>
        </w:tc>
      </w:tr>
      <w:tr w:rsidR="00133383" w:rsidRPr="00133383" w:rsidTr="002B7ED9">
        <w:trPr>
          <w:trHeight w:hRule="exact" w:val="249"/>
          <w:jc w:val="center"/>
        </w:trPr>
        <w:tc>
          <w:tcPr>
            <w:tcW w:w="494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133383" w:rsidRPr="00133383" w:rsidRDefault="00133383" w:rsidP="00133383">
            <w:pPr>
              <w:spacing w:line="240" w:lineRule="auto"/>
              <w:jc w:val="lef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133383">
              <w:rPr>
                <w:rFonts w:eastAsia="Times New Roman" w:cs="Arial"/>
                <w:color w:val="00325A"/>
                <w:sz w:val="18"/>
                <w:szCs w:val="18"/>
              </w:rPr>
              <w:t xml:space="preserve">Broj poduzetnika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133383" w:rsidRPr="00133383" w:rsidRDefault="00133383" w:rsidP="00133383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133383">
              <w:rPr>
                <w:rFonts w:eastAsia="Times New Roman" w:cs="Arial"/>
                <w:color w:val="00325A"/>
                <w:sz w:val="18"/>
                <w:szCs w:val="18"/>
              </w:rPr>
              <w:t>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133383" w:rsidRPr="00133383" w:rsidRDefault="00133383" w:rsidP="00133383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133383">
              <w:rPr>
                <w:rFonts w:eastAsia="Times New Roman" w:cs="Arial"/>
                <w:color w:val="00325A"/>
                <w:sz w:val="18"/>
                <w:szCs w:val="18"/>
              </w:rPr>
              <w:t>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133383" w:rsidRPr="00133383" w:rsidRDefault="00133383" w:rsidP="00133383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133383">
              <w:rPr>
                <w:rFonts w:eastAsia="Times New Roman" w:cs="Arial"/>
                <w:color w:val="00325A"/>
                <w:sz w:val="18"/>
                <w:szCs w:val="18"/>
              </w:rPr>
              <w:t>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133383" w:rsidRPr="00133383" w:rsidRDefault="00133383" w:rsidP="00133383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133383">
              <w:rPr>
                <w:rFonts w:eastAsia="Times New Roman" w:cs="Arial"/>
                <w:color w:val="00325A"/>
                <w:sz w:val="18"/>
                <w:szCs w:val="18"/>
              </w:rPr>
              <w:t>22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133383" w:rsidRPr="00133383" w:rsidRDefault="00133383" w:rsidP="00133383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133383">
              <w:rPr>
                <w:rFonts w:eastAsia="Times New Roman" w:cs="Arial"/>
                <w:color w:val="00325A"/>
                <w:sz w:val="18"/>
                <w:szCs w:val="18"/>
              </w:rPr>
              <w:t>25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133383" w:rsidRPr="00133383" w:rsidRDefault="00133383" w:rsidP="00133383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133383">
              <w:rPr>
                <w:rFonts w:eastAsia="Times New Roman" w:cs="Arial"/>
                <w:color w:val="00325A"/>
                <w:sz w:val="18"/>
                <w:szCs w:val="18"/>
              </w:rPr>
              <w:t>92,6</w:t>
            </w:r>
          </w:p>
        </w:tc>
      </w:tr>
      <w:tr w:rsidR="00133383" w:rsidRPr="00133383" w:rsidTr="002B7ED9">
        <w:trPr>
          <w:trHeight w:hRule="exact" w:val="249"/>
          <w:jc w:val="center"/>
        </w:trPr>
        <w:tc>
          <w:tcPr>
            <w:tcW w:w="494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133383" w:rsidRPr="00133383" w:rsidRDefault="00133383" w:rsidP="00133383">
            <w:pPr>
              <w:spacing w:line="240" w:lineRule="auto"/>
              <w:jc w:val="lef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133383">
              <w:rPr>
                <w:rFonts w:eastAsia="Times New Roman" w:cs="Arial"/>
                <w:color w:val="00325A"/>
                <w:sz w:val="18"/>
                <w:szCs w:val="18"/>
              </w:rPr>
              <w:t xml:space="preserve">Broj dobitaša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133383" w:rsidRPr="00133383" w:rsidRDefault="00133383" w:rsidP="00133383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133383">
              <w:rPr>
                <w:rFonts w:eastAsia="Times New Roman" w:cs="Arial"/>
                <w:color w:val="00325A"/>
                <w:sz w:val="18"/>
                <w:szCs w:val="18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133383" w:rsidRPr="00133383" w:rsidRDefault="00133383" w:rsidP="00133383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133383">
              <w:rPr>
                <w:rFonts w:eastAsia="Times New Roman" w:cs="Arial"/>
                <w:color w:val="00325A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133383" w:rsidRPr="00133383" w:rsidRDefault="00133383" w:rsidP="00133383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133383">
              <w:rPr>
                <w:rFonts w:eastAsia="Times New Roman" w:cs="Arial"/>
                <w:color w:val="00325A"/>
                <w:sz w:val="18"/>
                <w:szCs w:val="18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133383" w:rsidRPr="00133383" w:rsidRDefault="00133383" w:rsidP="00133383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133383">
              <w:rPr>
                <w:rFonts w:eastAsia="Times New Roman" w:cs="Arial"/>
                <w:color w:val="00325A"/>
                <w:sz w:val="18"/>
                <w:szCs w:val="18"/>
              </w:rPr>
              <w:t>13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133383" w:rsidRPr="00133383" w:rsidRDefault="00133383" w:rsidP="00133383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133383">
              <w:rPr>
                <w:rFonts w:eastAsia="Times New Roman" w:cs="Arial"/>
                <w:color w:val="00325A"/>
                <w:sz w:val="18"/>
                <w:szCs w:val="18"/>
              </w:rPr>
              <w:t>13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133383" w:rsidRPr="00133383" w:rsidRDefault="00133383" w:rsidP="00133383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133383">
              <w:rPr>
                <w:rFonts w:eastAsia="Times New Roman" w:cs="Arial"/>
                <w:color w:val="00325A"/>
                <w:sz w:val="18"/>
                <w:szCs w:val="18"/>
              </w:rPr>
              <w:t>92,9</w:t>
            </w:r>
          </w:p>
        </w:tc>
      </w:tr>
      <w:tr w:rsidR="00133383" w:rsidRPr="00133383" w:rsidTr="002B7ED9">
        <w:trPr>
          <w:trHeight w:hRule="exact" w:val="249"/>
          <w:jc w:val="center"/>
        </w:trPr>
        <w:tc>
          <w:tcPr>
            <w:tcW w:w="4944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133383" w:rsidRPr="00133383" w:rsidRDefault="00133383" w:rsidP="00133383">
            <w:pPr>
              <w:spacing w:line="240" w:lineRule="auto"/>
              <w:jc w:val="lef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133383">
              <w:rPr>
                <w:rFonts w:eastAsia="Times New Roman" w:cs="Arial"/>
                <w:color w:val="00325A"/>
                <w:sz w:val="18"/>
                <w:szCs w:val="18"/>
              </w:rPr>
              <w:t xml:space="preserve">Broj gubitaša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133383" w:rsidRPr="00133383" w:rsidRDefault="00133383" w:rsidP="00133383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133383">
              <w:rPr>
                <w:rFonts w:eastAsia="Times New Roman" w:cs="Arial"/>
                <w:color w:val="00325A"/>
                <w:sz w:val="18"/>
                <w:szCs w:val="18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133383" w:rsidRPr="00133383" w:rsidRDefault="00133383" w:rsidP="00133383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133383">
              <w:rPr>
                <w:rFonts w:eastAsia="Times New Roman" w:cs="Arial"/>
                <w:color w:val="00325A"/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133383" w:rsidRPr="00133383" w:rsidRDefault="00133383" w:rsidP="00133383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133383">
              <w:rPr>
                <w:rFonts w:eastAsia="Times New Roman" w:cs="Arial"/>
                <w:color w:val="00325A"/>
                <w:sz w:val="18"/>
                <w:szCs w:val="18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133383" w:rsidRPr="00133383" w:rsidRDefault="00133383" w:rsidP="00133383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133383">
              <w:rPr>
                <w:rFonts w:eastAsia="Times New Roman" w:cs="Arial"/>
                <w:color w:val="00325A"/>
                <w:sz w:val="18"/>
                <w:szCs w:val="18"/>
              </w:rPr>
              <w:t>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133383" w:rsidRPr="00133383" w:rsidRDefault="00133383" w:rsidP="00133383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133383">
              <w:rPr>
                <w:rFonts w:eastAsia="Times New Roman" w:cs="Arial"/>
                <w:color w:val="00325A"/>
                <w:sz w:val="18"/>
                <w:szCs w:val="18"/>
              </w:rPr>
              <w:t>12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BE5F1"/>
            <w:vAlign w:val="center"/>
            <w:hideMark/>
          </w:tcPr>
          <w:p w:rsidR="00133383" w:rsidRPr="00133383" w:rsidRDefault="00133383" w:rsidP="00133383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133383">
              <w:rPr>
                <w:rFonts w:eastAsia="Times New Roman" w:cs="Arial"/>
                <w:color w:val="00325A"/>
                <w:sz w:val="18"/>
                <w:szCs w:val="18"/>
              </w:rPr>
              <w:t>92,3</w:t>
            </w:r>
          </w:p>
        </w:tc>
      </w:tr>
      <w:tr w:rsidR="00133383" w:rsidRPr="00133383" w:rsidTr="002B7ED9">
        <w:trPr>
          <w:trHeight w:hRule="exact" w:val="249"/>
          <w:jc w:val="center"/>
        </w:trPr>
        <w:tc>
          <w:tcPr>
            <w:tcW w:w="494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33383" w:rsidRPr="00133383" w:rsidRDefault="00133383" w:rsidP="00133383">
            <w:pPr>
              <w:spacing w:line="240" w:lineRule="auto"/>
              <w:jc w:val="lef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133383">
              <w:rPr>
                <w:rFonts w:eastAsia="Times New Roman" w:cs="Arial"/>
                <w:color w:val="00325A"/>
                <w:sz w:val="18"/>
                <w:szCs w:val="18"/>
              </w:rPr>
              <w:t xml:space="preserve">Broj zaposlenih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33383" w:rsidRPr="00133383" w:rsidRDefault="00133383" w:rsidP="00133383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133383">
              <w:rPr>
                <w:rFonts w:eastAsia="Times New Roman" w:cs="Arial"/>
                <w:color w:val="00325A"/>
                <w:sz w:val="18"/>
                <w:szCs w:val="18"/>
              </w:rPr>
              <w:t>139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33383" w:rsidRPr="00133383" w:rsidRDefault="00133383" w:rsidP="00133383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133383">
              <w:rPr>
                <w:rFonts w:eastAsia="Times New Roman" w:cs="Arial"/>
                <w:color w:val="00325A"/>
                <w:sz w:val="18"/>
                <w:szCs w:val="18"/>
              </w:rPr>
              <w:t>119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33383" w:rsidRPr="00133383" w:rsidRDefault="00133383" w:rsidP="00133383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133383">
              <w:rPr>
                <w:rFonts w:eastAsia="Times New Roman" w:cs="Arial"/>
                <w:color w:val="00325A"/>
                <w:sz w:val="18"/>
                <w:szCs w:val="18"/>
              </w:rPr>
              <w:t>113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33383" w:rsidRPr="00133383" w:rsidRDefault="00133383" w:rsidP="00133383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133383">
              <w:rPr>
                <w:rFonts w:eastAsia="Times New Roman" w:cs="Arial"/>
                <w:color w:val="00325A"/>
                <w:sz w:val="18"/>
                <w:szCs w:val="18"/>
              </w:rPr>
              <w:t>119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33383" w:rsidRPr="00133383" w:rsidRDefault="00133383" w:rsidP="00133383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133383">
              <w:rPr>
                <w:rFonts w:eastAsia="Times New Roman" w:cs="Arial"/>
                <w:color w:val="00325A"/>
                <w:sz w:val="18"/>
                <w:szCs w:val="18"/>
              </w:rPr>
              <w:t>109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33383" w:rsidRPr="00133383" w:rsidRDefault="00133383" w:rsidP="00133383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133383">
              <w:rPr>
                <w:rFonts w:eastAsia="Times New Roman" w:cs="Arial"/>
                <w:color w:val="00325A"/>
                <w:sz w:val="18"/>
                <w:szCs w:val="18"/>
              </w:rPr>
              <w:t>78,4</w:t>
            </w:r>
          </w:p>
        </w:tc>
      </w:tr>
      <w:tr w:rsidR="00133383" w:rsidRPr="00133383" w:rsidTr="002B7ED9">
        <w:trPr>
          <w:trHeight w:hRule="exact" w:val="249"/>
          <w:jc w:val="center"/>
        </w:trPr>
        <w:tc>
          <w:tcPr>
            <w:tcW w:w="494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33383" w:rsidRPr="00133383" w:rsidRDefault="00133383" w:rsidP="00133383">
            <w:pPr>
              <w:spacing w:line="240" w:lineRule="auto"/>
              <w:jc w:val="lef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133383">
              <w:rPr>
                <w:rFonts w:eastAsia="Times New Roman" w:cs="Arial"/>
                <w:color w:val="00325A"/>
                <w:sz w:val="18"/>
                <w:szCs w:val="18"/>
              </w:rPr>
              <w:t xml:space="preserve">Ukupni prihodi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33383" w:rsidRPr="00133383" w:rsidRDefault="00133383" w:rsidP="00133383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133383">
              <w:rPr>
                <w:rFonts w:eastAsia="Times New Roman" w:cs="Arial"/>
                <w:color w:val="00325A"/>
                <w:sz w:val="18"/>
                <w:szCs w:val="18"/>
              </w:rPr>
              <w:t>52.143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33383" w:rsidRPr="00133383" w:rsidRDefault="00133383" w:rsidP="00133383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133383">
              <w:rPr>
                <w:rFonts w:eastAsia="Times New Roman" w:cs="Arial"/>
                <w:color w:val="00325A"/>
                <w:sz w:val="18"/>
                <w:szCs w:val="18"/>
              </w:rPr>
              <w:t>41.091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33383" w:rsidRPr="00133383" w:rsidRDefault="00133383" w:rsidP="00133383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133383">
              <w:rPr>
                <w:rFonts w:eastAsia="Times New Roman" w:cs="Arial"/>
                <w:color w:val="00325A"/>
                <w:sz w:val="18"/>
                <w:szCs w:val="18"/>
              </w:rPr>
              <w:t>49.936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33383" w:rsidRPr="00133383" w:rsidRDefault="00133383" w:rsidP="00133383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133383">
              <w:rPr>
                <w:rFonts w:eastAsia="Times New Roman" w:cs="Arial"/>
                <w:color w:val="00325A"/>
                <w:sz w:val="18"/>
                <w:szCs w:val="18"/>
              </w:rPr>
              <w:t>40.090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33383" w:rsidRPr="00133383" w:rsidRDefault="00133383" w:rsidP="00133383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133383">
              <w:rPr>
                <w:rFonts w:eastAsia="Times New Roman" w:cs="Arial"/>
                <w:color w:val="00325A"/>
                <w:sz w:val="18"/>
                <w:szCs w:val="18"/>
              </w:rPr>
              <w:t>44.596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33383" w:rsidRPr="00133383" w:rsidRDefault="00133383" w:rsidP="00133383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133383">
              <w:rPr>
                <w:rFonts w:eastAsia="Times New Roman" w:cs="Arial"/>
                <w:color w:val="00325A"/>
                <w:sz w:val="18"/>
                <w:szCs w:val="18"/>
              </w:rPr>
              <w:t>85,5</w:t>
            </w:r>
          </w:p>
        </w:tc>
      </w:tr>
      <w:tr w:rsidR="00133383" w:rsidRPr="00133383" w:rsidTr="002B7ED9">
        <w:trPr>
          <w:trHeight w:hRule="exact" w:val="249"/>
          <w:jc w:val="center"/>
        </w:trPr>
        <w:tc>
          <w:tcPr>
            <w:tcW w:w="494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33383" w:rsidRPr="00133383" w:rsidRDefault="00133383" w:rsidP="00133383">
            <w:pPr>
              <w:spacing w:line="240" w:lineRule="auto"/>
              <w:jc w:val="lef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133383">
              <w:rPr>
                <w:rFonts w:eastAsia="Times New Roman" w:cs="Arial"/>
                <w:color w:val="00325A"/>
                <w:sz w:val="18"/>
                <w:szCs w:val="18"/>
              </w:rPr>
              <w:t xml:space="preserve">Ukupni rashodi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33383" w:rsidRPr="00133383" w:rsidRDefault="00133383" w:rsidP="00133383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133383">
              <w:rPr>
                <w:rFonts w:eastAsia="Times New Roman" w:cs="Arial"/>
                <w:color w:val="00325A"/>
                <w:sz w:val="18"/>
                <w:szCs w:val="18"/>
              </w:rPr>
              <w:t>51.603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33383" w:rsidRPr="00133383" w:rsidRDefault="00133383" w:rsidP="00133383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133383">
              <w:rPr>
                <w:rFonts w:eastAsia="Times New Roman" w:cs="Arial"/>
                <w:color w:val="00325A"/>
                <w:sz w:val="18"/>
                <w:szCs w:val="18"/>
              </w:rPr>
              <w:t>40.655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33383" w:rsidRPr="00133383" w:rsidRDefault="00133383" w:rsidP="00133383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133383">
              <w:rPr>
                <w:rFonts w:eastAsia="Times New Roman" w:cs="Arial"/>
                <w:color w:val="00325A"/>
                <w:sz w:val="18"/>
                <w:szCs w:val="18"/>
              </w:rPr>
              <w:t>49.865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33383" w:rsidRPr="00133383" w:rsidRDefault="00133383" w:rsidP="00133383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133383">
              <w:rPr>
                <w:rFonts w:eastAsia="Times New Roman" w:cs="Arial"/>
                <w:color w:val="00325A"/>
                <w:sz w:val="18"/>
                <w:szCs w:val="18"/>
              </w:rPr>
              <w:t>54.745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33383" w:rsidRPr="00133383" w:rsidRDefault="00133383" w:rsidP="00133383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133383">
              <w:rPr>
                <w:rFonts w:eastAsia="Times New Roman" w:cs="Arial"/>
                <w:color w:val="00325A"/>
                <w:sz w:val="18"/>
                <w:szCs w:val="18"/>
              </w:rPr>
              <w:t>44.175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33383" w:rsidRPr="00133383" w:rsidRDefault="00133383" w:rsidP="00133383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133383">
              <w:rPr>
                <w:rFonts w:eastAsia="Times New Roman" w:cs="Arial"/>
                <w:color w:val="00325A"/>
                <w:sz w:val="18"/>
                <w:szCs w:val="18"/>
              </w:rPr>
              <w:t>85,6</w:t>
            </w:r>
          </w:p>
        </w:tc>
      </w:tr>
      <w:tr w:rsidR="00133383" w:rsidRPr="00133383" w:rsidTr="002B7ED9">
        <w:trPr>
          <w:trHeight w:hRule="exact" w:val="249"/>
          <w:jc w:val="center"/>
        </w:trPr>
        <w:tc>
          <w:tcPr>
            <w:tcW w:w="494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33383" w:rsidRPr="00133383" w:rsidRDefault="00133383" w:rsidP="00133383">
            <w:pPr>
              <w:spacing w:line="240" w:lineRule="auto"/>
              <w:jc w:val="lef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133383">
              <w:rPr>
                <w:rFonts w:eastAsia="Times New Roman" w:cs="Arial"/>
                <w:color w:val="00325A"/>
                <w:sz w:val="18"/>
                <w:szCs w:val="18"/>
              </w:rPr>
              <w:t xml:space="preserve">Dobit prije oporezivanja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33383" w:rsidRPr="00133383" w:rsidRDefault="00133383" w:rsidP="00133383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133383">
              <w:rPr>
                <w:rFonts w:eastAsia="Times New Roman" w:cs="Arial"/>
                <w:color w:val="00325A"/>
                <w:sz w:val="18"/>
                <w:szCs w:val="18"/>
              </w:rPr>
              <w:t>1.379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33383" w:rsidRPr="00133383" w:rsidRDefault="00133383" w:rsidP="00133383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133383">
              <w:rPr>
                <w:rFonts w:eastAsia="Times New Roman" w:cs="Arial"/>
                <w:color w:val="00325A"/>
                <w:sz w:val="18"/>
                <w:szCs w:val="18"/>
              </w:rPr>
              <w:t>670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33383" w:rsidRPr="00133383" w:rsidRDefault="00133383" w:rsidP="00133383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133383">
              <w:rPr>
                <w:rFonts w:eastAsia="Times New Roman" w:cs="Arial"/>
                <w:color w:val="00325A"/>
                <w:sz w:val="18"/>
                <w:szCs w:val="18"/>
              </w:rPr>
              <w:t>824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33383" w:rsidRPr="00133383" w:rsidRDefault="00133383" w:rsidP="00133383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133383">
              <w:rPr>
                <w:rFonts w:eastAsia="Times New Roman" w:cs="Arial"/>
                <w:color w:val="00325A"/>
                <w:sz w:val="18"/>
                <w:szCs w:val="18"/>
              </w:rPr>
              <w:t>1.097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33383" w:rsidRPr="00133383" w:rsidRDefault="00133383" w:rsidP="00133383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133383">
              <w:rPr>
                <w:rFonts w:eastAsia="Times New Roman" w:cs="Arial"/>
                <w:color w:val="00325A"/>
                <w:sz w:val="18"/>
                <w:szCs w:val="18"/>
              </w:rPr>
              <w:t>1.414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33383" w:rsidRPr="00133383" w:rsidRDefault="00133383" w:rsidP="00133383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133383">
              <w:rPr>
                <w:rFonts w:eastAsia="Times New Roman" w:cs="Arial"/>
                <w:color w:val="00325A"/>
                <w:sz w:val="18"/>
                <w:szCs w:val="18"/>
              </w:rPr>
              <w:t>102,6</w:t>
            </w:r>
          </w:p>
        </w:tc>
      </w:tr>
      <w:tr w:rsidR="00133383" w:rsidRPr="00133383" w:rsidTr="002B7ED9">
        <w:trPr>
          <w:trHeight w:hRule="exact" w:val="249"/>
          <w:jc w:val="center"/>
        </w:trPr>
        <w:tc>
          <w:tcPr>
            <w:tcW w:w="494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33383" w:rsidRPr="00133383" w:rsidRDefault="00133383" w:rsidP="00133383">
            <w:pPr>
              <w:spacing w:line="240" w:lineRule="auto"/>
              <w:jc w:val="lef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133383">
              <w:rPr>
                <w:rFonts w:eastAsia="Times New Roman" w:cs="Arial"/>
                <w:color w:val="00325A"/>
                <w:sz w:val="18"/>
                <w:szCs w:val="18"/>
              </w:rPr>
              <w:t xml:space="preserve">Gubitak prije oporezivanja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33383" w:rsidRPr="00133383" w:rsidRDefault="00133383" w:rsidP="00133383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133383">
              <w:rPr>
                <w:rFonts w:eastAsia="Times New Roman" w:cs="Arial"/>
                <w:color w:val="00325A"/>
                <w:sz w:val="18"/>
                <w:szCs w:val="18"/>
              </w:rPr>
              <w:t>839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33383" w:rsidRPr="00133383" w:rsidRDefault="00133383" w:rsidP="00133383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133383">
              <w:rPr>
                <w:rFonts w:eastAsia="Times New Roman" w:cs="Arial"/>
                <w:color w:val="00325A"/>
                <w:sz w:val="18"/>
                <w:szCs w:val="18"/>
              </w:rPr>
              <w:t>233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33383" w:rsidRPr="00133383" w:rsidRDefault="00133383" w:rsidP="00133383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133383">
              <w:rPr>
                <w:rFonts w:eastAsia="Times New Roman" w:cs="Arial"/>
                <w:color w:val="00325A"/>
                <w:sz w:val="18"/>
                <w:szCs w:val="18"/>
              </w:rPr>
              <w:t>753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33383" w:rsidRPr="00133383" w:rsidRDefault="00133383" w:rsidP="00133383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133383">
              <w:rPr>
                <w:rFonts w:eastAsia="Times New Roman" w:cs="Arial"/>
                <w:color w:val="00325A"/>
                <w:sz w:val="18"/>
                <w:szCs w:val="18"/>
              </w:rPr>
              <w:t>15.752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33383" w:rsidRPr="00133383" w:rsidRDefault="00133383" w:rsidP="00133383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133383">
              <w:rPr>
                <w:rFonts w:eastAsia="Times New Roman" w:cs="Arial"/>
                <w:color w:val="00325A"/>
                <w:sz w:val="18"/>
                <w:szCs w:val="18"/>
              </w:rPr>
              <w:t>993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33383" w:rsidRPr="00133383" w:rsidRDefault="00133383" w:rsidP="00133383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133383">
              <w:rPr>
                <w:rFonts w:eastAsia="Times New Roman" w:cs="Arial"/>
                <w:color w:val="00325A"/>
                <w:sz w:val="18"/>
                <w:szCs w:val="18"/>
              </w:rPr>
              <w:t>118,4</w:t>
            </w:r>
          </w:p>
        </w:tc>
      </w:tr>
      <w:tr w:rsidR="00133383" w:rsidRPr="00133383" w:rsidTr="002B7ED9">
        <w:trPr>
          <w:trHeight w:hRule="exact" w:val="249"/>
          <w:jc w:val="center"/>
        </w:trPr>
        <w:tc>
          <w:tcPr>
            <w:tcW w:w="494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33383" w:rsidRPr="00133383" w:rsidRDefault="00133383" w:rsidP="00133383">
            <w:pPr>
              <w:spacing w:line="240" w:lineRule="auto"/>
              <w:jc w:val="lef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133383">
              <w:rPr>
                <w:rFonts w:eastAsia="Times New Roman" w:cs="Arial"/>
                <w:color w:val="00325A"/>
                <w:sz w:val="18"/>
                <w:szCs w:val="18"/>
              </w:rPr>
              <w:t xml:space="preserve">Porez na dobit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33383" w:rsidRPr="00133383" w:rsidRDefault="00133383" w:rsidP="00133383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133383">
              <w:rPr>
                <w:rFonts w:eastAsia="Times New Roman" w:cs="Arial"/>
                <w:color w:val="00325A"/>
                <w:sz w:val="18"/>
                <w:szCs w:val="18"/>
              </w:rPr>
              <w:t>264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33383" w:rsidRPr="00133383" w:rsidRDefault="00133383" w:rsidP="00133383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133383">
              <w:rPr>
                <w:rFonts w:eastAsia="Times New Roman" w:cs="Arial"/>
                <w:color w:val="00325A"/>
                <w:sz w:val="18"/>
                <w:szCs w:val="18"/>
              </w:rPr>
              <w:t>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33383" w:rsidRPr="00133383" w:rsidRDefault="00133383" w:rsidP="00133383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133383">
              <w:rPr>
                <w:rFonts w:eastAsia="Times New Roman" w:cs="Arial"/>
                <w:color w:val="00325A"/>
                <w:sz w:val="18"/>
                <w:szCs w:val="18"/>
              </w:rPr>
              <w:t>121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33383" w:rsidRPr="00133383" w:rsidRDefault="00133383" w:rsidP="00133383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133383">
              <w:rPr>
                <w:rFonts w:eastAsia="Times New Roman" w:cs="Arial"/>
                <w:color w:val="00325A"/>
                <w:sz w:val="18"/>
                <w:szCs w:val="18"/>
              </w:rPr>
              <w:t>129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33383" w:rsidRPr="00133383" w:rsidRDefault="00133383" w:rsidP="00133383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133383">
              <w:rPr>
                <w:rFonts w:eastAsia="Times New Roman" w:cs="Arial"/>
                <w:color w:val="00325A"/>
                <w:sz w:val="18"/>
                <w:szCs w:val="18"/>
              </w:rPr>
              <w:t>187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33383" w:rsidRPr="00133383" w:rsidRDefault="00133383" w:rsidP="00133383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133383">
              <w:rPr>
                <w:rFonts w:eastAsia="Times New Roman" w:cs="Arial"/>
                <w:color w:val="00325A"/>
                <w:sz w:val="18"/>
                <w:szCs w:val="18"/>
              </w:rPr>
              <w:t>71,1</w:t>
            </w:r>
          </w:p>
        </w:tc>
      </w:tr>
      <w:tr w:rsidR="00133383" w:rsidRPr="00133383" w:rsidTr="002B7ED9">
        <w:trPr>
          <w:trHeight w:hRule="exact" w:val="249"/>
          <w:jc w:val="center"/>
        </w:trPr>
        <w:tc>
          <w:tcPr>
            <w:tcW w:w="494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33383" w:rsidRPr="00133383" w:rsidRDefault="00133383" w:rsidP="00133383">
            <w:pPr>
              <w:spacing w:line="240" w:lineRule="auto"/>
              <w:jc w:val="lef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133383">
              <w:rPr>
                <w:rFonts w:eastAsia="Times New Roman" w:cs="Arial"/>
                <w:color w:val="00325A"/>
                <w:sz w:val="18"/>
                <w:szCs w:val="18"/>
              </w:rPr>
              <w:t xml:space="preserve">Dobit razdoblja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33383" w:rsidRPr="00133383" w:rsidRDefault="00133383" w:rsidP="00133383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133383">
              <w:rPr>
                <w:rFonts w:eastAsia="Times New Roman" w:cs="Arial"/>
                <w:color w:val="00325A"/>
                <w:sz w:val="18"/>
                <w:szCs w:val="18"/>
              </w:rPr>
              <w:t>1.115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33383" w:rsidRPr="00133383" w:rsidRDefault="00133383" w:rsidP="00133383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133383">
              <w:rPr>
                <w:rFonts w:eastAsia="Times New Roman" w:cs="Arial"/>
                <w:color w:val="00325A"/>
                <w:sz w:val="18"/>
                <w:szCs w:val="18"/>
              </w:rPr>
              <w:t>582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33383" w:rsidRPr="00133383" w:rsidRDefault="00133383" w:rsidP="00133383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133383">
              <w:rPr>
                <w:rFonts w:eastAsia="Times New Roman" w:cs="Arial"/>
                <w:color w:val="00325A"/>
                <w:sz w:val="18"/>
                <w:szCs w:val="18"/>
              </w:rPr>
              <w:t>706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33383" w:rsidRPr="00133383" w:rsidRDefault="00133383" w:rsidP="00133383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133383">
              <w:rPr>
                <w:rFonts w:eastAsia="Times New Roman" w:cs="Arial"/>
                <w:color w:val="00325A"/>
                <w:sz w:val="18"/>
                <w:szCs w:val="18"/>
              </w:rPr>
              <w:t>968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33383" w:rsidRPr="00133383" w:rsidRDefault="00133383" w:rsidP="00133383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133383">
              <w:rPr>
                <w:rFonts w:eastAsia="Times New Roman" w:cs="Arial"/>
                <w:color w:val="00325A"/>
                <w:sz w:val="18"/>
                <w:szCs w:val="18"/>
              </w:rPr>
              <w:t>1.227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33383" w:rsidRPr="00133383" w:rsidRDefault="00133383" w:rsidP="00133383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133383">
              <w:rPr>
                <w:rFonts w:eastAsia="Times New Roman" w:cs="Arial"/>
                <w:color w:val="00325A"/>
                <w:sz w:val="18"/>
                <w:szCs w:val="18"/>
              </w:rPr>
              <w:t>110,0</w:t>
            </w:r>
          </w:p>
        </w:tc>
      </w:tr>
      <w:tr w:rsidR="00133383" w:rsidRPr="00133383" w:rsidTr="002B7ED9">
        <w:trPr>
          <w:trHeight w:hRule="exact" w:val="249"/>
          <w:jc w:val="center"/>
        </w:trPr>
        <w:tc>
          <w:tcPr>
            <w:tcW w:w="494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33383" w:rsidRPr="00133383" w:rsidRDefault="00133383" w:rsidP="00133383">
            <w:pPr>
              <w:spacing w:line="240" w:lineRule="auto"/>
              <w:jc w:val="lef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133383">
              <w:rPr>
                <w:rFonts w:eastAsia="Times New Roman" w:cs="Arial"/>
                <w:color w:val="00325A"/>
                <w:sz w:val="18"/>
                <w:szCs w:val="18"/>
              </w:rPr>
              <w:t xml:space="preserve">Gubitak razdoblja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33383" w:rsidRPr="00133383" w:rsidRDefault="00133383" w:rsidP="00133383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133383">
              <w:rPr>
                <w:rFonts w:eastAsia="Times New Roman" w:cs="Arial"/>
                <w:color w:val="00325A"/>
                <w:sz w:val="18"/>
                <w:szCs w:val="18"/>
              </w:rPr>
              <w:t>839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33383" w:rsidRPr="00133383" w:rsidRDefault="00133383" w:rsidP="00133383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133383">
              <w:rPr>
                <w:rFonts w:eastAsia="Times New Roman" w:cs="Arial"/>
                <w:color w:val="00325A"/>
                <w:sz w:val="18"/>
                <w:szCs w:val="18"/>
              </w:rPr>
              <w:t>233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33383" w:rsidRPr="00133383" w:rsidRDefault="00133383" w:rsidP="00133383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133383">
              <w:rPr>
                <w:rFonts w:eastAsia="Times New Roman" w:cs="Arial"/>
                <w:color w:val="00325A"/>
                <w:sz w:val="18"/>
                <w:szCs w:val="18"/>
              </w:rPr>
              <w:t>756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33383" w:rsidRPr="00133383" w:rsidRDefault="00133383" w:rsidP="00133383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133383">
              <w:rPr>
                <w:rFonts w:eastAsia="Times New Roman" w:cs="Arial"/>
                <w:color w:val="00325A"/>
                <w:sz w:val="18"/>
                <w:szCs w:val="18"/>
              </w:rPr>
              <w:t>15.752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33383" w:rsidRPr="00133383" w:rsidRDefault="00133383" w:rsidP="00133383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133383">
              <w:rPr>
                <w:rFonts w:eastAsia="Times New Roman" w:cs="Arial"/>
                <w:color w:val="00325A"/>
                <w:sz w:val="18"/>
                <w:szCs w:val="18"/>
              </w:rPr>
              <w:t>993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33383" w:rsidRPr="00133383" w:rsidRDefault="00133383" w:rsidP="00133383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133383">
              <w:rPr>
                <w:rFonts w:eastAsia="Times New Roman" w:cs="Arial"/>
                <w:color w:val="00325A"/>
                <w:sz w:val="18"/>
                <w:szCs w:val="18"/>
              </w:rPr>
              <w:t>118,4</w:t>
            </w:r>
          </w:p>
        </w:tc>
      </w:tr>
      <w:tr w:rsidR="00133383" w:rsidRPr="00133383" w:rsidTr="002B7ED9">
        <w:trPr>
          <w:trHeight w:hRule="exact" w:val="249"/>
          <w:jc w:val="center"/>
        </w:trPr>
        <w:tc>
          <w:tcPr>
            <w:tcW w:w="494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33383" w:rsidRPr="00133383" w:rsidRDefault="00133383" w:rsidP="00133383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00325A"/>
                <w:sz w:val="18"/>
                <w:szCs w:val="18"/>
              </w:rPr>
            </w:pPr>
            <w:r w:rsidRPr="00133383">
              <w:rPr>
                <w:rFonts w:eastAsia="Times New Roman" w:cs="Arial"/>
                <w:b/>
                <w:bCs/>
                <w:color w:val="00325A"/>
                <w:sz w:val="18"/>
                <w:szCs w:val="18"/>
              </w:rPr>
              <w:t>Dobit (+) ili gubitak (-) razdoblja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33383" w:rsidRPr="00133383" w:rsidRDefault="00133383" w:rsidP="00133383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00325A"/>
                <w:sz w:val="18"/>
                <w:szCs w:val="18"/>
              </w:rPr>
            </w:pPr>
            <w:r w:rsidRPr="00133383">
              <w:rPr>
                <w:rFonts w:eastAsia="Times New Roman" w:cs="Arial"/>
                <w:b/>
                <w:bCs/>
                <w:color w:val="00325A"/>
                <w:sz w:val="18"/>
                <w:szCs w:val="18"/>
              </w:rPr>
              <w:t>276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33383" w:rsidRPr="00133383" w:rsidRDefault="00133383" w:rsidP="00133383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00325A"/>
                <w:sz w:val="18"/>
                <w:szCs w:val="18"/>
              </w:rPr>
            </w:pPr>
            <w:r w:rsidRPr="00133383">
              <w:rPr>
                <w:rFonts w:eastAsia="Times New Roman" w:cs="Arial"/>
                <w:b/>
                <w:bCs/>
                <w:color w:val="00325A"/>
                <w:sz w:val="18"/>
                <w:szCs w:val="18"/>
              </w:rPr>
              <w:t>349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33383" w:rsidRPr="00133383" w:rsidRDefault="00133383" w:rsidP="00133383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FF0000"/>
                <w:sz w:val="18"/>
                <w:szCs w:val="18"/>
              </w:rPr>
            </w:pPr>
            <w:r w:rsidRPr="00133383">
              <w:rPr>
                <w:rFonts w:eastAsia="Times New Roman" w:cs="Arial"/>
                <w:b/>
                <w:bCs/>
                <w:color w:val="FF0000"/>
                <w:sz w:val="18"/>
                <w:szCs w:val="18"/>
              </w:rPr>
              <w:t>-50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33383" w:rsidRPr="00133383" w:rsidRDefault="00133383" w:rsidP="00133383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FF0000"/>
                <w:sz w:val="18"/>
                <w:szCs w:val="18"/>
              </w:rPr>
            </w:pPr>
            <w:r w:rsidRPr="00133383">
              <w:rPr>
                <w:rFonts w:eastAsia="Times New Roman" w:cs="Arial"/>
                <w:b/>
                <w:bCs/>
                <w:color w:val="FF0000"/>
                <w:sz w:val="18"/>
                <w:szCs w:val="18"/>
              </w:rPr>
              <w:t>-14.784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33383" w:rsidRPr="00133383" w:rsidRDefault="00133383" w:rsidP="00133383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00325A"/>
                <w:sz w:val="18"/>
                <w:szCs w:val="18"/>
              </w:rPr>
            </w:pPr>
            <w:r w:rsidRPr="00133383">
              <w:rPr>
                <w:rFonts w:eastAsia="Times New Roman" w:cs="Arial"/>
                <w:b/>
                <w:bCs/>
                <w:color w:val="00325A"/>
                <w:sz w:val="18"/>
                <w:szCs w:val="18"/>
              </w:rPr>
              <w:t>234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33383" w:rsidRPr="00133383" w:rsidRDefault="00133383" w:rsidP="00133383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133383">
              <w:rPr>
                <w:rFonts w:eastAsia="Times New Roman" w:cs="Arial"/>
                <w:color w:val="00325A"/>
                <w:sz w:val="18"/>
                <w:szCs w:val="18"/>
              </w:rPr>
              <w:t>84,5</w:t>
            </w:r>
          </w:p>
        </w:tc>
      </w:tr>
      <w:tr w:rsidR="00133383" w:rsidRPr="00133383" w:rsidTr="002B7ED9">
        <w:trPr>
          <w:trHeight w:hRule="exact" w:val="249"/>
          <w:jc w:val="center"/>
        </w:trPr>
        <w:tc>
          <w:tcPr>
            <w:tcW w:w="494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33383" w:rsidRPr="00133383" w:rsidRDefault="00133383" w:rsidP="00133383">
            <w:pPr>
              <w:spacing w:line="240" w:lineRule="auto"/>
              <w:jc w:val="lef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133383">
              <w:rPr>
                <w:rFonts w:eastAsia="Times New Roman" w:cs="Arial"/>
                <w:color w:val="00325A"/>
                <w:sz w:val="18"/>
                <w:szCs w:val="18"/>
              </w:rPr>
              <w:t xml:space="preserve">Izvoz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33383" w:rsidRPr="00133383" w:rsidRDefault="00133383" w:rsidP="00133383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133383">
              <w:rPr>
                <w:rFonts w:eastAsia="Times New Roman" w:cs="Arial"/>
                <w:color w:val="00325A"/>
                <w:sz w:val="18"/>
                <w:szCs w:val="18"/>
              </w:rPr>
              <w:t>2.384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33383" w:rsidRPr="00133383" w:rsidRDefault="00133383" w:rsidP="00133383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133383">
              <w:rPr>
                <w:rFonts w:eastAsia="Times New Roman" w:cs="Arial"/>
                <w:color w:val="00325A"/>
                <w:sz w:val="18"/>
                <w:szCs w:val="18"/>
              </w:rPr>
              <w:t>1.172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33383" w:rsidRPr="00133383" w:rsidRDefault="00133383" w:rsidP="00133383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133383">
              <w:rPr>
                <w:rFonts w:eastAsia="Times New Roman" w:cs="Arial"/>
                <w:color w:val="00325A"/>
                <w:sz w:val="18"/>
                <w:szCs w:val="18"/>
              </w:rPr>
              <w:t>4.014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33383" w:rsidRPr="00133383" w:rsidRDefault="00133383" w:rsidP="00133383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133383">
              <w:rPr>
                <w:rFonts w:eastAsia="Times New Roman" w:cs="Arial"/>
                <w:color w:val="00325A"/>
                <w:sz w:val="18"/>
                <w:szCs w:val="18"/>
              </w:rPr>
              <w:t>162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33383" w:rsidRPr="00133383" w:rsidRDefault="00133383" w:rsidP="00133383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133383">
              <w:rPr>
                <w:rFonts w:eastAsia="Times New Roman" w:cs="Arial"/>
                <w:color w:val="00325A"/>
                <w:sz w:val="18"/>
                <w:szCs w:val="18"/>
              </w:rPr>
              <w:t>4.306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33383" w:rsidRPr="00133383" w:rsidRDefault="00133383" w:rsidP="00133383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133383">
              <w:rPr>
                <w:rFonts w:eastAsia="Times New Roman" w:cs="Arial"/>
                <w:color w:val="00325A"/>
                <w:sz w:val="18"/>
                <w:szCs w:val="18"/>
              </w:rPr>
              <w:t>180,6</w:t>
            </w:r>
          </w:p>
        </w:tc>
      </w:tr>
      <w:tr w:rsidR="00133383" w:rsidRPr="00133383" w:rsidTr="002B7ED9">
        <w:trPr>
          <w:trHeight w:hRule="exact" w:val="249"/>
          <w:jc w:val="center"/>
        </w:trPr>
        <w:tc>
          <w:tcPr>
            <w:tcW w:w="494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33383" w:rsidRPr="00133383" w:rsidRDefault="00133383" w:rsidP="00133383">
            <w:pPr>
              <w:spacing w:line="240" w:lineRule="auto"/>
              <w:jc w:val="lef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133383">
              <w:rPr>
                <w:rFonts w:eastAsia="Times New Roman" w:cs="Arial"/>
                <w:color w:val="00325A"/>
                <w:sz w:val="18"/>
                <w:szCs w:val="18"/>
              </w:rPr>
              <w:t xml:space="preserve">Uvoz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33383" w:rsidRPr="00133383" w:rsidRDefault="00133383" w:rsidP="00133383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133383">
              <w:rPr>
                <w:rFonts w:eastAsia="Times New Roman" w:cs="Arial"/>
                <w:color w:val="00325A"/>
                <w:sz w:val="18"/>
                <w:szCs w:val="18"/>
              </w:rPr>
              <w:t>2.812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33383" w:rsidRPr="00133383" w:rsidRDefault="00133383" w:rsidP="00133383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133383">
              <w:rPr>
                <w:rFonts w:eastAsia="Times New Roman" w:cs="Arial"/>
                <w:color w:val="00325A"/>
                <w:sz w:val="18"/>
                <w:szCs w:val="18"/>
              </w:rPr>
              <w:t>3.127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33383" w:rsidRPr="00133383" w:rsidRDefault="00133383" w:rsidP="00133383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133383">
              <w:rPr>
                <w:rFonts w:eastAsia="Times New Roman" w:cs="Arial"/>
                <w:color w:val="00325A"/>
                <w:sz w:val="18"/>
                <w:szCs w:val="18"/>
              </w:rPr>
              <w:t>610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33383" w:rsidRPr="00133383" w:rsidRDefault="00133383" w:rsidP="00133383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133383">
              <w:rPr>
                <w:rFonts w:eastAsia="Times New Roman" w:cs="Arial"/>
                <w:color w:val="00325A"/>
                <w:sz w:val="18"/>
                <w:szCs w:val="18"/>
              </w:rPr>
              <w:t>1.366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33383" w:rsidRPr="00133383" w:rsidRDefault="00133383" w:rsidP="00133383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133383">
              <w:rPr>
                <w:rFonts w:eastAsia="Times New Roman" w:cs="Arial"/>
                <w:color w:val="00325A"/>
                <w:sz w:val="18"/>
                <w:szCs w:val="18"/>
              </w:rPr>
              <w:t>720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33383" w:rsidRPr="00133383" w:rsidRDefault="00133383" w:rsidP="00133383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133383">
              <w:rPr>
                <w:rFonts w:eastAsia="Times New Roman" w:cs="Arial"/>
                <w:color w:val="00325A"/>
                <w:sz w:val="18"/>
                <w:szCs w:val="18"/>
              </w:rPr>
              <w:t>25,6</w:t>
            </w:r>
          </w:p>
        </w:tc>
      </w:tr>
      <w:tr w:rsidR="00133383" w:rsidRPr="00133383" w:rsidTr="002B7ED9">
        <w:trPr>
          <w:trHeight w:hRule="exact" w:val="249"/>
          <w:jc w:val="center"/>
        </w:trPr>
        <w:tc>
          <w:tcPr>
            <w:tcW w:w="494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33383" w:rsidRPr="00133383" w:rsidRDefault="00133383" w:rsidP="00133383">
            <w:pPr>
              <w:spacing w:line="240" w:lineRule="auto"/>
              <w:jc w:val="lef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133383">
              <w:rPr>
                <w:rFonts w:eastAsia="Times New Roman" w:cs="Arial"/>
                <w:color w:val="00325A"/>
                <w:sz w:val="18"/>
                <w:szCs w:val="18"/>
              </w:rPr>
              <w:t xml:space="preserve">Trgovinski saldo (izvoz minus uvoz)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33383" w:rsidRPr="00133383" w:rsidRDefault="00133383" w:rsidP="00133383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133383">
              <w:rPr>
                <w:rFonts w:eastAsia="Times New Roman" w:cs="Arial"/>
                <w:color w:val="00325A"/>
                <w:sz w:val="18"/>
                <w:szCs w:val="18"/>
              </w:rPr>
              <w:t>-428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33383" w:rsidRPr="00133383" w:rsidRDefault="00133383" w:rsidP="00133383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133383">
              <w:rPr>
                <w:rFonts w:eastAsia="Times New Roman" w:cs="Arial"/>
                <w:color w:val="00325A"/>
                <w:sz w:val="18"/>
                <w:szCs w:val="18"/>
              </w:rPr>
              <w:t>-1.955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33383" w:rsidRPr="00133383" w:rsidRDefault="00133383" w:rsidP="00133383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133383">
              <w:rPr>
                <w:rFonts w:eastAsia="Times New Roman" w:cs="Arial"/>
                <w:color w:val="00325A"/>
                <w:sz w:val="18"/>
                <w:szCs w:val="18"/>
              </w:rPr>
              <w:t>3.404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33383" w:rsidRPr="00133383" w:rsidRDefault="00133383" w:rsidP="00133383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133383">
              <w:rPr>
                <w:rFonts w:eastAsia="Times New Roman" w:cs="Arial"/>
                <w:color w:val="00325A"/>
                <w:sz w:val="18"/>
                <w:szCs w:val="18"/>
              </w:rPr>
              <w:t>-1.204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33383" w:rsidRPr="00133383" w:rsidRDefault="00133383" w:rsidP="00133383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133383">
              <w:rPr>
                <w:rFonts w:eastAsia="Times New Roman" w:cs="Arial"/>
                <w:color w:val="00325A"/>
                <w:sz w:val="18"/>
                <w:szCs w:val="18"/>
              </w:rPr>
              <w:t>3.587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33383" w:rsidRPr="00133383" w:rsidRDefault="00133383" w:rsidP="00133383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133383">
              <w:rPr>
                <w:rFonts w:eastAsia="Times New Roman" w:cs="Arial"/>
                <w:color w:val="00325A"/>
                <w:sz w:val="18"/>
                <w:szCs w:val="18"/>
              </w:rPr>
              <w:t>-</w:t>
            </w:r>
          </w:p>
        </w:tc>
      </w:tr>
      <w:tr w:rsidR="00133383" w:rsidRPr="00133383" w:rsidTr="002B7ED9">
        <w:trPr>
          <w:trHeight w:hRule="exact" w:val="249"/>
          <w:jc w:val="center"/>
        </w:trPr>
        <w:tc>
          <w:tcPr>
            <w:tcW w:w="494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33383" w:rsidRPr="00133383" w:rsidRDefault="00133383" w:rsidP="00133383">
            <w:pPr>
              <w:spacing w:line="240" w:lineRule="auto"/>
              <w:jc w:val="lef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133383">
              <w:rPr>
                <w:rFonts w:eastAsia="Times New Roman" w:cs="Arial"/>
                <w:color w:val="00325A"/>
                <w:sz w:val="18"/>
                <w:szCs w:val="18"/>
              </w:rPr>
              <w:t>Investicije u novu dugotrajnu imovinu</w:t>
            </w:r>
            <w:r>
              <w:rPr>
                <w:rStyle w:val="FootnoteReference"/>
                <w:rFonts w:eastAsia="Times New Roman"/>
                <w:color w:val="00325A"/>
                <w:sz w:val="18"/>
                <w:szCs w:val="18"/>
              </w:rPr>
              <w:footnoteReference w:id="1"/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33383" w:rsidRPr="00133383" w:rsidRDefault="00133383" w:rsidP="00133383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133383">
              <w:rPr>
                <w:rFonts w:eastAsia="Times New Roman" w:cs="Arial"/>
                <w:color w:val="00325A"/>
                <w:sz w:val="18"/>
                <w:szCs w:val="18"/>
              </w:rPr>
              <w:t>193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33383" w:rsidRPr="00133383" w:rsidRDefault="00133383" w:rsidP="00133383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133383">
              <w:rPr>
                <w:rFonts w:eastAsia="Times New Roman" w:cs="Arial"/>
                <w:color w:val="00325A"/>
                <w:sz w:val="18"/>
                <w:szCs w:val="18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33383" w:rsidRPr="00133383" w:rsidRDefault="00133383" w:rsidP="00133383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133383">
              <w:rPr>
                <w:rFonts w:eastAsia="Times New Roman" w:cs="Arial"/>
                <w:color w:val="00325A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33383" w:rsidRPr="00133383" w:rsidRDefault="00133383" w:rsidP="00133383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133383">
              <w:rPr>
                <w:rFonts w:eastAsia="Times New Roman" w:cs="Arial"/>
                <w:color w:val="00325A"/>
                <w:sz w:val="18"/>
                <w:szCs w:val="18"/>
              </w:rPr>
              <w:t>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33383" w:rsidRPr="00133383" w:rsidRDefault="00133383" w:rsidP="00133383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133383">
              <w:rPr>
                <w:rFonts w:eastAsia="Times New Roman" w:cs="Arial"/>
                <w:color w:val="00325A"/>
                <w:sz w:val="18"/>
                <w:szCs w:val="18"/>
              </w:rPr>
              <w:t>16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33383" w:rsidRPr="00133383" w:rsidRDefault="00133383" w:rsidP="00133383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133383">
              <w:rPr>
                <w:rFonts w:eastAsia="Times New Roman" w:cs="Arial"/>
                <w:color w:val="00325A"/>
                <w:sz w:val="18"/>
                <w:szCs w:val="18"/>
              </w:rPr>
              <w:t>8,3</w:t>
            </w:r>
          </w:p>
        </w:tc>
      </w:tr>
      <w:tr w:rsidR="00133383" w:rsidRPr="00133383" w:rsidTr="002B7ED9">
        <w:trPr>
          <w:trHeight w:hRule="exact" w:val="249"/>
          <w:jc w:val="center"/>
        </w:trPr>
        <w:tc>
          <w:tcPr>
            <w:tcW w:w="494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33383" w:rsidRPr="00133383" w:rsidRDefault="00133383" w:rsidP="00133383">
            <w:pPr>
              <w:spacing w:line="240" w:lineRule="auto"/>
              <w:jc w:val="lef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133383">
              <w:rPr>
                <w:rFonts w:eastAsia="Times New Roman" w:cs="Arial"/>
                <w:color w:val="00325A"/>
                <w:sz w:val="18"/>
                <w:szCs w:val="18"/>
              </w:rPr>
              <w:t>Prosječne mjesečne neto plaće po zaposlenom (u kn)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33383" w:rsidRPr="00133383" w:rsidRDefault="00133383" w:rsidP="00133383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133383">
              <w:rPr>
                <w:rFonts w:eastAsia="Times New Roman" w:cs="Arial"/>
                <w:color w:val="00325A"/>
                <w:sz w:val="18"/>
                <w:szCs w:val="18"/>
              </w:rPr>
              <w:t>2.892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33383" w:rsidRPr="00133383" w:rsidRDefault="00133383" w:rsidP="00133383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133383">
              <w:rPr>
                <w:rFonts w:eastAsia="Times New Roman" w:cs="Arial"/>
                <w:color w:val="00325A"/>
                <w:sz w:val="18"/>
                <w:szCs w:val="18"/>
              </w:rPr>
              <w:t>3.161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33383" w:rsidRPr="00133383" w:rsidRDefault="00133383" w:rsidP="00133383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133383">
              <w:rPr>
                <w:rFonts w:eastAsia="Times New Roman" w:cs="Arial"/>
                <w:color w:val="00325A"/>
                <w:sz w:val="18"/>
                <w:szCs w:val="18"/>
              </w:rPr>
              <w:t>3.354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33383" w:rsidRPr="00133383" w:rsidRDefault="00133383" w:rsidP="00133383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133383">
              <w:rPr>
                <w:rFonts w:eastAsia="Times New Roman" w:cs="Arial"/>
                <w:color w:val="00325A"/>
                <w:sz w:val="18"/>
                <w:szCs w:val="18"/>
              </w:rPr>
              <w:t>2.961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33383" w:rsidRPr="00133383" w:rsidRDefault="00133383" w:rsidP="00133383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133383">
              <w:rPr>
                <w:rFonts w:eastAsia="Times New Roman" w:cs="Arial"/>
                <w:color w:val="00325A"/>
                <w:sz w:val="18"/>
                <w:szCs w:val="18"/>
              </w:rPr>
              <w:t>3.215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133383" w:rsidRPr="00133383" w:rsidRDefault="00527289" w:rsidP="00133383">
            <w:pPr>
              <w:spacing w:line="240" w:lineRule="auto"/>
              <w:jc w:val="right"/>
              <w:rPr>
                <w:rFonts w:eastAsia="Times New Roman" w:cs="Arial"/>
                <w:color w:val="00325A"/>
                <w:sz w:val="18"/>
                <w:szCs w:val="18"/>
              </w:rPr>
            </w:pPr>
            <w:r>
              <w:rPr>
                <w:rFonts w:eastAsia="Times New Roman" w:cs="Arial"/>
                <w:color w:val="00325A"/>
                <w:sz w:val="18"/>
                <w:szCs w:val="18"/>
              </w:rPr>
              <w:t>111,2</w:t>
            </w:r>
          </w:p>
        </w:tc>
      </w:tr>
    </w:tbl>
    <w:p w:rsidR="002640E8" w:rsidRPr="00A8335B" w:rsidRDefault="002640E8" w:rsidP="00DB2231">
      <w:pPr>
        <w:spacing w:before="40" w:line="269" w:lineRule="auto"/>
        <w:rPr>
          <w:color w:val="17365D" w:themeColor="text2" w:themeShade="BF"/>
        </w:rPr>
      </w:pPr>
      <w:r w:rsidRPr="00A8335B">
        <w:rPr>
          <w:rFonts w:cs="Arial"/>
          <w:i/>
          <w:color w:val="17365D" w:themeColor="text2" w:themeShade="BF"/>
          <w:sz w:val="16"/>
          <w:szCs w:val="16"/>
          <w:lang w:eastAsia="hr-HR"/>
        </w:rPr>
        <w:t>Izvor: Fina – Registar godišnjih financijskih izvještaja</w:t>
      </w:r>
    </w:p>
    <w:p w:rsidR="000A3970" w:rsidRDefault="000A3970" w:rsidP="00BE756A">
      <w:pPr>
        <w:widowControl w:val="0"/>
        <w:spacing w:before="180"/>
        <w:rPr>
          <w:rFonts w:cs="Arial"/>
          <w:color w:val="17365D"/>
          <w:szCs w:val="20"/>
        </w:rPr>
      </w:pPr>
      <w:r w:rsidRPr="00A63BA2">
        <w:rPr>
          <w:rFonts w:cs="Arial"/>
          <w:color w:val="17365D"/>
          <w:szCs w:val="20"/>
        </w:rPr>
        <w:t>Poduzetnici u promatranom razredu djelatnosti ostvarili su pozitivan konsolidirani financijski rezultat (neto dobit) 201</w:t>
      </w:r>
      <w:r w:rsidR="00A046B2" w:rsidRPr="00A63BA2">
        <w:rPr>
          <w:rFonts w:cs="Arial"/>
          <w:color w:val="17365D"/>
          <w:szCs w:val="20"/>
        </w:rPr>
        <w:t>6</w:t>
      </w:r>
      <w:r w:rsidRPr="00A63BA2">
        <w:rPr>
          <w:rFonts w:cs="Arial"/>
          <w:color w:val="17365D"/>
          <w:szCs w:val="20"/>
        </w:rPr>
        <w:t xml:space="preserve">. </w:t>
      </w:r>
      <w:r w:rsidR="00A046B2" w:rsidRPr="00A63BA2">
        <w:rPr>
          <w:rFonts w:cs="Arial"/>
          <w:color w:val="17365D"/>
          <w:szCs w:val="20"/>
        </w:rPr>
        <w:t>i</w:t>
      </w:r>
      <w:r w:rsidRPr="00A63BA2">
        <w:rPr>
          <w:rFonts w:cs="Arial"/>
          <w:color w:val="17365D"/>
          <w:szCs w:val="20"/>
        </w:rPr>
        <w:t xml:space="preserve"> 2017. godine, dok su u 2018. i 2019. godini iskazali neto gubitak. Najveći neto gubitak ostvaren je 2019. </w:t>
      </w:r>
      <w:r w:rsidR="00E16D16">
        <w:rPr>
          <w:rFonts w:cs="Arial"/>
          <w:color w:val="17365D"/>
          <w:szCs w:val="20"/>
        </w:rPr>
        <w:t>g</w:t>
      </w:r>
      <w:r w:rsidRPr="00A63BA2">
        <w:rPr>
          <w:rFonts w:cs="Arial"/>
          <w:color w:val="17365D"/>
          <w:szCs w:val="20"/>
        </w:rPr>
        <w:t>odine</w:t>
      </w:r>
      <w:r w:rsidR="00E16D16">
        <w:rPr>
          <w:rFonts w:cs="Arial"/>
          <w:color w:val="17365D"/>
          <w:szCs w:val="20"/>
        </w:rPr>
        <w:t>,</w:t>
      </w:r>
      <w:r w:rsidRPr="00A63BA2">
        <w:rPr>
          <w:rFonts w:cs="Arial"/>
          <w:color w:val="17365D"/>
          <w:szCs w:val="20"/>
        </w:rPr>
        <w:t xml:space="preserve"> kada je iznosio 14,8 milijuna kuna, </w:t>
      </w:r>
      <w:r w:rsidR="005C4BCA" w:rsidRPr="00A63BA2">
        <w:rPr>
          <w:rFonts w:cs="Arial"/>
          <w:color w:val="17365D" w:themeColor="text2" w:themeShade="BF"/>
          <w:szCs w:val="20"/>
        </w:rPr>
        <w:t xml:space="preserve">na što je najviše utjecao </w:t>
      </w:r>
      <w:r w:rsidR="005C4BCA" w:rsidRPr="00A63BA2">
        <w:rPr>
          <w:rFonts w:cs="Arial"/>
          <w:color w:val="17365D"/>
          <w:szCs w:val="20"/>
        </w:rPr>
        <w:t>mikro poduzetnik bez zaposlenih, one2play maloprodaja d.o.o. u stečaju</w:t>
      </w:r>
      <w:r w:rsidR="005C4BCA" w:rsidRPr="00A63BA2">
        <w:rPr>
          <w:rStyle w:val="FootnoteReference"/>
          <w:color w:val="17365D"/>
          <w:szCs w:val="20"/>
        </w:rPr>
        <w:footnoteReference w:id="2"/>
      </w:r>
      <w:r w:rsidR="005C4BCA" w:rsidRPr="00A63BA2">
        <w:rPr>
          <w:rFonts w:cs="Arial"/>
          <w:color w:val="17365D"/>
          <w:szCs w:val="20"/>
        </w:rPr>
        <w:t>, s iskazanih 15,2 milijuna kuna gubitka.</w:t>
      </w:r>
      <w:r w:rsidR="00A046B2" w:rsidRPr="00A63BA2">
        <w:rPr>
          <w:rFonts w:cs="Arial"/>
          <w:color w:val="17365D"/>
          <w:szCs w:val="20"/>
        </w:rPr>
        <w:t xml:space="preserve"> U 2020. godini ostvarena je neto dobit u iznosu od 234 tisuće kuna.</w:t>
      </w:r>
    </w:p>
    <w:p w:rsidR="00DE1B1C" w:rsidRPr="0046590F" w:rsidRDefault="006D4A85" w:rsidP="002B7ED9">
      <w:pPr>
        <w:tabs>
          <w:tab w:val="left" w:pos="1134"/>
        </w:tabs>
        <w:spacing w:before="180" w:after="40" w:line="240" w:lineRule="auto"/>
        <w:rPr>
          <w:rFonts w:eastAsia="Times New Roman" w:cs="Arial"/>
          <w:b/>
          <w:color w:val="17365D"/>
          <w:sz w:val="18"/>
          <w:szCs w:val="18"/>
        </w:rPr>
      </w:pPr>
      <w:r w:rsidRPr="0046590F">
        <w:rPr>
          <w:rFonts w:eastAsia="Times New Roman" w:cs="Arial"/>
          <w:b/>
          <w:color w:val="17365D"/>
          <w:sz w:val="18"/>
          <w:szCs w:val="18"/>
        </w:rPr>
        <w:t>Tablica 2.</w:t>
      </w:r>
      <w:r w:rsidRPr="0046590F">
        <w:rPr>
          <w:rFonts w:eastAsia="Times New Roman" w:cs="Arial"/>
          <w:b/>
          <w:color w:val="17365D"/>
          <w:sz w:val="18"/>
          <w:szCs w:val="18"/>
        </w:rPr>
        <w:tab/>
        <w:t>Dobit/gubitak razdoblja</w:t>
      </w:r>
      <w:r w:rsidR="00DE1B1C" w:rsidRPr="0046590F">
        <w:rPr>
          <w:rFonts w:eastAsia="Times New Roman" w:cs="Arial"/>
          <w:bCs/>
          <w:color w:val="244061"/>
          <w:sz w:val="18"/>
          <w:szCs w:val="18"/>
          <w:lang w:eastAsia="hr-HR"/>
        </w:rPr>
        <w:t xml:space="preserve"> </w:t>
      </w:r>
      <w:r w:rsidR="00DE1B1C" w:rsidRPr="0046590F">
        <w:rPr>
          <w:rFonts w:eastAsia="Times New Roman" w:cs="Arial"/>
          <w:b/>
          <w:bCs/>
          <w:color w:val="244061"/>
          <w:sz w:val="18"/>
          <w:szCs w:val="18"/>
          <w:lang w:eastAsia="hr-HR"/>
        </w:rPr>
        <w:t>one2play d.o.o. i one2play maloprodaja d.o.o. u stečaju,</w:t>
      </w:r>
      <w:r w:rsidRPr="0046590F">
        <w:rPr>
          <w:rFonts w:eastAsia="Times New Roman" w:cs="Arial"/>
          <w:b/>
          <w:color w:val="17365D"/>
          <w:sz w:val="18"/>
          <w:szCs w:val="18"/>
        </w:rPr>
        <w:t xml:space="preserve"> 2011.-20</w:t>
      </w:r>
      <w:r w:rsidR="00C15471" w:rsidRPr="0046590F">
        <w:rPr>
          <w:rFonts w:eastAsia="Times New Roman" w:cs="Arial"/>
          <w:b/>
          <w:color w:val="17365D"/>
          <w:sz w:val="18"/>
          <w:szCs w:val="18"/>
        </w:rPr>
        <w:t>20</w:t>
      </w:r>
      <w:r w:rsidRPr="0046590F">
        <w:rPr>
          <w:rFonts w:eastAsia="Times New Roman" w:cs="Arial"/>
          <w:b/>
          <w:color w:val="17365D"/>
          <w:sz w:val="18"/>
          <w:szCs w:val="18"/>
        </w:rPr>
        <w:t>. g</w:t>
      </w:r>
      <w:r w:rsidR="00DE1B1C" w:rsidRPr="0046590F">
        <w:rPr>
          <w:rFonts w:eastAsia="Times New Roman" w:cs="Arial"/>
          <w:b/>
          <w:color w:val="17365D"/>
          <w:sz w:val="18"/>
          <w:szCs w:val="18"/>
        </w:rPr>
        <w:t>.</w:t>
      </w:r>
    </w:p>
    <w:p w:rsidR="006D4A85" w:rsidRPr="006D4A85" w:rsidRDefault="006D4A85" w:rsidP="00DE1B1C">
      <w:pPr>
        <w:tabs>
          <w:tab w:val="left" w:pos="1134"/>
        </w:tabs>
        <w:spacing w:before="20" w:after="20" w:line="240" w:lineRule="auto"/>
        <w:jc w:val="right"/>
        <w:rPr>
          <w:rFonts w:eastAsia="Times New Roman" w:cs="Arial"/>
          <w:i/>
          <w:color w:val="17365D"/>
          <w:sz w:val="16"/>
          <w:szCs w:val="16"/>
        </w:rPr>
      </w:pPr>
      <w:r w:rsidRPr="0046590F">
        <w:rPr>
          <w:rFonts w:eastAsia="Times New Roman" w:cs="Arial"/>
          <w:i/>
          <w:color w:val="17365D"/>
          <w:sz w:val="16"/>
          <w:szCs w:val="16"/>
        </w:rPr>
        <w:t>(iznosi u tisućama. kuna)</w:t>
      </w:r>
    </w:p>
    <w:tbl>
      <w:tblPr>
        <w:tblW w:w="9922" w:type="dxa"/>
        <w:jc w:val="center"/>
        <w:tblInd w:w="909" w:type="dxa"/>
        <w:tblLayout w:type="fixed"/>
        <w:tblLook w:val="00A0" w:firstRow="1" w:lastRow="0" w:firstColumn="1" w:lastColumn="0" w:noHBand="0" w:noVBand="0"/>
      </w:tblPr>
      <w:tblGrid>
        <w:gridCol w:w="1574"/>
        <w:gridCol w:w="851"/>
        <w:gridCol w:w="850"/>
        <w:gridCol w:w="851"/>
        <w:gridCol w:w="850"/>
        <w:gridCol w:w="851"/>
        <w:gridCol w:w="850"/>
        <w:gridCol w:w="863"/>
        <w:gridCol w:w="796"/>
        <w:gridCol w:w="850"/>
        <w:gridCol w:w="736"/>
      </w:tblGrid>
      <w:tr w:rsidR="00F60A5C" w:rsidRPr="006D4A85" w:rsidTr="002B7ED9">
        <w:trPr>
          <w:trHeight w:val="283"/>
          <w:tblHeader/>
          <w:jc w:val="center"/>
        </w:trPr>
        <w:tc>
          <w:tcPr>
            <w:tcW w:w="15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44061" w:themeFill="accent1" w:themeFillShade="80"/>
            <w:vAlign w:val="center"/>
          </w:tcPr>
          <w:p w:rsidR="00F60A5C" w:rsidRPr="002B7ED9" w:rsidRDefault="00F60A5C" w:rsidP="006D4A85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6"/>
                <w:szCs w:val="17"/>
                <w:lang w:eastAsia="hr-HR"/>
              </w:rPr>
            </w:pPr>
            <w:r w:rsidRPr="002B7ED9">
              <w:rPr>
                <w:rFonts w:eastAsia="Times New Roman" w:cs="Arial"/>
                <w:b/>
                <w:bCs/>
                <w:color w:val="FFFFFF"/>
                <w:sz w:val="16"/>
                <w:szCs w:val="17"/>
                <w:lang w:eastAsia="hr-HR"/>
              </w:rPr>
              <w:t>Opis</w:t>
            </w: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44061" w:themeFill="accent1" w:themeFillShade="80"/>
            <w:vAlign w:val="center"/>
          </w:tcPr>
          <w:p w:rsidR="00F60A5C" w:rsidRPr="002B7ED9" w:rsidRDefault="00F60A5C" w:rsidP="006D4A85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5"/>
                <w:szCs w:val="15"/>
                <w:lang w:eastAsia="hr-HR"/>
              </w:rPr>
            </w:pPr>
            <w:r w:rsidRPr="002B7ED9">
              <w:rPr>
                <w:rFonts w:eastAsia="Times New Roman" w:cs="Arial"/>
                <w:b/>
                <w:bCs/>
                <w:color w:val="FFFFFF"/>
                <w:sz w:val="15"/>
                <w:szCs w:val="15"/>
                <w:lang w:eastAsia="hr-HR"/>
              </w:rPr>
              <w:t>2011.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44061" w:themeFill="accent1" w:themeFillShade="80"/>
            <w:vAlign w:val="center"/>
          </w:tcPr>
          <w:p w:rsidR="00F60A5C" w:rsidRPr="002B7ED9" w:rsidRDefault="00F60A5C" w:rsidP="006D4A85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5"/>
                <w:szCs w:val="15"/>
                <w:lang w:eastAsia="hr-HR"/>
              </w:rPr>
            </w:pPr>
            <w:r w:rsidRPr="002B7ED9">
              <w:rPr>
                <w:rFonts w:eastAsia="Times New Roman" w:cs="Arial"/>
                <w:b/>
                <w:bCs/>
                <w:color w:val="FFFFFF"/>
                <w:sz w:val="15"/>
                <w:szCs w:val="15"/>
                <w:lang w:eastAsia="hr-HR"/>
              </w:rPr>
              <w:t>2012.</w:t>
            </w: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44061" w:themeFill="accent1" w:themeFillShade="80"/>
            <w:noWrap/>
            <w:vAlign w:val="center"/>
            <w:hideMark/>
          </w:tcPr>
          <w:p w:rsidR="00F60A5C" w:rsidRPr="002B7ED9" w:rsidRDefault="00F60A5C" w:rsidP="006D4A85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5"/>
                <w:szCs w:val="15"/>
                <w:lang w:eastAsia="hr-HR"/>
              </w:rPr>
            </w:pPr>
            <w:r w:rsidRPr="002B7ED9">
              <w:rPr>
                <w:rFonts w:eastAsia="Times New Roman" w:cs="Arial"/>
                <w:b/>
                <w:bCs/>
                <w:color w:val="FFFFFF"/>
                <w:sz w:val="15"/>
                <w:szCs w:val="15"/>
                <w:lang w:eastAsia="hr-HR"/>
              </w:rPr>
              <w:t>2013.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44061" w:themeFill="accent1" w:themeFillShade="80"/>
            <w:noWrap/>
            <w:vAlign w:val="center"/>
            <w:hideMark/>
          </w:tcPr>
          <w:p w:rsidR="00F60A5C" w:rsidRPr="002B7ED9" w:rsidRDefault="00F60A5C" w:rsidP="006D4A85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5"/>
                <w:szCs w:val="15"/>
                <w:lang w:eastAsia="hr-HR"/>
              </w:rPr>
            </w:pPr>
            <w:r w:rsidRPr="002B7ED9">
              <w:rPr>
                <w:rFonts w:eastAsia="Times New Roman" w:cs="Arial"/>
                <w:b/>
                <w:bCs/>
                <w:color w:val="FFFFFF"/>
                <w:sz w:val="15"/>
                <w:szCs w:val="15"/>
                <w:lang w:eastAsia="hr-HR"/>
              </w:rPr>
              <w:t>2014.</w:t>
            </w:r>
          </w:p>
        </w:tc>
        <w:tc>
          <w:tcPr>
            <w:tcW w:w="85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44061" w:themeFill="accent1" w:themeFillShade="80"/>
            <w:noWrap/>
            <w:vAlign w:val="center"/>
            <w:hideMark/>
          </w:tcPr>
          <w:p w:rsidR="00F60A5C" w:rsidRPr="002B7ED9" w:rsidRDefault="00F60A5C" w:rsidP="0013449D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5"/>
                <w:szCs w:val="15"/>
                <w:lang w:eastAsia="hr-HR"/>
              </w:rPr>
            </w:pPr>
            <w:r w:rsidRPr="002B7ED9">
              <w:rPr>
                <w:rFonts w:eastAsia="Times New Roman" w:cs="Arial"/>
                <w:b/>
                <w:bCs/>
                <w:color w:val="FFFFFF"/>
                <w:sz w:val="15"/>
                <w:szCs w:val="15"/>
                <w:lang w:eastAsia="hr-HR"/>
              </w:rPr>
              <w:t>2015.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44061" w:themeFill="accent1" w:themeFillShade="80"/>
            <w:noWrap/>
            <w:vAlign w:val="center"/>
            <w:hideMark/>
          </w:tcPr>
          <w:p w:rsidR="00F60A5C" w:rsidRPr="002B7ED9" w:rsidRDefault="00F60A5C" w:rsidP="006D4A85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5"/>
                <w:szCs w:val="15"/>
                <w:lang w:eastAsia="hr-HR"/>
              </w:rPr>
            </w:pPr>
            <w:r w:rsidRPr="002B7ED9">
              <w:rPr>
                <w:rFonts w:eastAsia="Times New Roman" w:cs="Arial"/>
                <w:b/>
                <w:bCs/>
                <w:color w:val="FFFFFF"/>
                <w:sz w:val="15"/>
                <w:szCs w:val="15"/>
                <w:lang w:eastAsia="hr-HR"/>
              </w:rPr>
              <w:t>2016.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44061" w:themeFill="accent1" w:themeFillShade="80"/>
            <w:vAlign w:val="center"/>
          </w:tcPr>
          <w:p w:rsidR="00F60A5C" w:rsidRPr="002B7ED9" w:rsidRDefault="00F60A5C" w:rsidP="006D4A85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5"/>
                <w:szCs w:val="15"/>
                <w:lang w:eastAsia="hr-HR"/>
              </w:rPr>
            </w:pPr>
            <w:r w:rsidRPr="002B7ED9">
              <w:rPr>
                <w:rFonts w:eastAsia="Times New Roman" w:cs="Arial"/>
                <w:b/>
                <w:bCs/>
                <w:color w:val="FFFFFF"/>
                <w:sz w:val="15"/>
                <w:szCs w:val="15"/>
                <w:lang w:eastAsia="hr-HR"/>
              </w:rPr>
              <w:t>2017.</w:t>
            </w:r>
          </w:p>
        </w:tc>
        <w:tc>
          <w:tcPr>
            <w:tcW w:w="79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44061" w:themeFill="accent1" w:themeFillShade="80"/>
            <w:vAlign w:val="center"/>
          </w:tcPr>
          <w:p w:rsidR="00F60A5C" w:rsidRPr="002B7ED9" w:rsidRDefault="00F60A5C" w:rsidP="006D4A85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5"/>
                <w:szCs w:val="15"/>
                <w:lang w:eastAsia="hr-HR"/>
              </w:rPr>
            </w:pPr>
            <w:r w:rsidRPr="002B7ED9">
              <w:rPr>
                <w:rFonts w:eastAsia="Times New Roman" w:cs="Arial"/>
                <w:b/>
                <w:bCs/>
                <w:color w:val="FFFFFF"/>
                <w:sz w:val="15"/>
                <w:szCs w:val="15"/>
                <w:lang w:eastAsia="hr-HR"/>
              </w:rPr>
              <w:t>2018.</w:t>
            </w:r>
          </w:p>
        </w:tc>
        <w:tc>
          <w:tcPr>
            <w:tcW w:w="8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44061" w:themeFill="accent1" w:themeFillShade="80"/>
            <w:vAlign w:val="center"/>
          </w:tcPr>
          <w:p w:rsidR="00F60A5C" w:rsidRPr="002B7ED9" w:rsidRDefault="00F60A5C" w:rsidP="006D4A85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5"/>
                <w:szCs w:val="15"/>
                <w:lang w:eastAsia="hr-HR"/>
              </w:rPr>
            </w:pPr>
            <w:r w:rsidRPr="002B7ED9">
              <w:rPr>
                <w:rFonts w:eastAsia="Times New Roman" w:cs="Arial"/>
                <w:b/>
                <w:bCs/>
                <w:color w:val="FFFFFF"/>
                <w:sz w:val="15"/>
                <w:szCs w:val="15"/>
                <w:lang w:eastAsia="hr-HR"/>
              </w:rPr>
              <w:t>2019.</w:t>
            </w:r>
          </w:p>
        </w:tc>
        <w:tc>
          <w:tcPr>
            <w:tcW w:w="7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244061" w:themeFill="accent1" w:themeFillShade="80"/>
            <w:vAlign w:val="center"/>
          </w:tcPr>
          <w:p w:rsidR="00F60A5C" w:rsidRPr="002B7ED9" w:rsidRDefault="00C15471" w:rsidP="00C1547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5"/>
                <w:szCs w:val="15"/>
                <w:lang w:eastAsia="hr-HR"/>
              </w:rPr>
            </w:pPr>
            <w:r w:rsidRPr="002B7ED9">
              <w:rPr>
                <w:rFonts w:eastAsia="Times New Roman" w:cs="Arial"/>
                <w:b/>
                <w:bCs/>
                <w:color w:val="FFFFFF"/>
                <w:sz w:val="15"/>
                <w:szCs w:val="15"/>
                <w:lang w:eastAsia="hr-HR"/>
              </w:rPr>
              <w:t>2020.</w:t>
            </w:r>
          </w:p>
        </w:tc>
      </w:tr>
      <w:tr w:rsidR="00F60A5C" w:rsidRPr="006D4A85" w:rsidTr="002B7ED9">
        <w:trPr>
          <w:trHeight w:val="255"/>
          <w:jc w:val="center"/>
        </w:trPr>
        <w:tc>
          <w:tcPr>
            <w:tcW w:w="15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F60A5C" w:rsidRPr="002B7ED9" w:rsidRDefault="00F60A5C" w:rsidP="00216A58">
            <w:pPr>
              <w:spacing w:line="240" w:lineRule="auto"/>
              <w:ind w:left="-57" w:right="-57"/>
              <w:jc w:val="left"/>
              <w:rPr>
                <w:rFonts w:eastAsia="Times New Roman" w:cs="Arial"/>
                <w:bCs/>
                <w:color w:val="244061"/>
                <w:sz w:val="16"/>
                <w:szCs w:val="18"/>
                <w:lang w:eastAsia="hr-HR"/>
              </w:rPr>
            </w:pPr>
            <w:r w:rsidRPr="002B7ED9">
              <w:rPr>
                <w:rFonts w:eastAsia="Times New Roman" w:cs="Arial"/>
                <w:bCs/>
                <w:color w:val="244061"/>
                <w:sz w:val="16"/>
                <w:szCs w:val="18"/>
                <w:lang w:eastAsia="hr-HR"/>
              </w:rPr>
              <w:t>one2play d.o.o.</w:t>
            </w:r>
            <w:r w:rsidRPr="002B7ED9">
              <w:rPr>
                <w:rStyle w:val="FootnoteReference"/>
                <w:rFonts w:eastAsia="Times New Roman"/>
                <w:bCs/>
                <w:color w:val="244061"/>
                <w:sz w:val="16"/>
                <w:szCs w:val="18"/>
                <w:lang w:eastAsia="hr-HR"/>
              </w:rPr>
              <w:footnoteReference w:id="3"/>
            </w: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F60A5C" w:rsidRPr="002B7ED9" w:rsidRDefault="00F60A5C" w:rsidP="00C15471">
            <w:pPr>
              <w:spacing w:line="240" w:lineRule="auto"/>
              <w:ind w:left="-57" w:right="-57"/>
              <w:jc w:val="right"/>
              <w:rPr>
                <w:rFonts w:eastAsia="Times New Roman" w:cs="Arial"/>
                <w:color w:val="244061" w:themeColor="accent1" w:themeShade="80"/>
                <w:sz w:val="16"/>
                <w:szCs w:val="18"/>
              </w:rPr>
            </w:pPr>
            <w:r w:rsidRPr="002B7ED9">
              <w:rPr>
                <w:rFonts w:eastAsia="Times New Roman" w:cs="Arial"/>
                <w:color w:val="244061" w:themeColor="accent1" w:themeShade="80"/>
                <w:sz w:val="16"/>
                <w:szCs w:val="18"/>
              </w:rPr>
              <w:t>-2.227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:rsidR="00F60A5C" w:rsidRPr="002B7ED9" w:rsidRDefault="00F60A5C" w:rsidP="00C15471">
            <w:pPr>
              <w:spacing w:line="240" w:lineRule="auto"/>
              <w:ind w:left="-57" w:right="-57"/>
              <w:jc w:val="right"/>
              <w:rPr>
                <w:rFonts w:eastAsia="Times New Roman" w:cs="Arial"/>
                <w:color w:val="244061" w:themeColor="accent1" w:themeShade="80"/>
                <w:sz w:val="16"/>
                <w:szCs w:val="18"/>
              </w:rPr>
            </w:pPr>
            <w:r w:rsidRPr="002B7ED9">
              <w:rPr>
                <w:rFonts w:eastAsia="Times New Roman" w:cs="Arial"/>
                <w:color w:val="244061" w:themeColor="accent1" w:themeShade="80"/>
                <w:sz w:val="16"/>
                <w:szCs w:val="18"/>
              </w:rPr>
              <w:t>-24.725</w:t>
            </w: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vAlign w:val="center"/>
          </w:tcPr>
          <w:p w:rsidR="00F60A5C" w:rsidRPr="002B7ED9" w:rsidRDefault="00F60A5C" w:rsidP="00C15471">
            <w:pPr>
              <w:spacing w:line="240" w:lineRule="auto"/>
              <w:ind w:left="-57" w:right="-57"/>
              <w:jc w:val="right"/>
              <w:rPr>
                <w:rFonts w:eastAsia="Times New Roman" w:cs="Arial"/>
                <w:color w:val="244061" w:themeColor="accent1" w:themeShade="80"/>
                <w:sz w:val="16"/>
                <w:szCs w:val="18"/>
              </w:rPr>
            </w:pPr>
            <w:r w:rsidRPr="002B7ED9">
              <w:rPr>
                <w:rFonts w:eastAsia="Times New Roman" w:cs="Arial"/>
                <w:color w:val="244061" w:themeColor="accent1" w:themeShade="80"/>
                <w:sz w:val="16"/>
                <w:szCs w:val="18"/>
              </w:rPr>
              <w:t>-8.794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vAlign w:val="center"/>
          </w:tcPr>
          <w:p w:rsidR="00F60A5C" w:rsidRPr="002B7ED9" w:rsidRDefault="00F60A5C" w:rsidP="00C15471">
            <w:pPr>
              <w:spacing w:line="240" w:lineRule="auto"/>
              <w:ind w:left="-57" w:right="-57"/>
              <w:jc w:val="right"/>
              <w:rPr>
                <w:rFonts w:eastAsia="Times New Roman" w:cs="Arial"/>
                <w:color w:val="244061" w:themeColor="accent1" w:themeShade="80"/>
                <w:sz w:val="16"/>
                <w:szCs w:val="18"/>
              </w:rPr>
            </w:pPr>
            <w:r w:rsidRPr="002B7ED9">
              <w:rPr>
                <w:rFonts w:eastAsia="Times New Roman" w:cs="Arial"/>
                <w:color w:val="244061" w:themeColor="accent1" w:themeShade="80"/>
                <w:sz w:val="16"/>
                <w:szCs w:val="18"/>
              </w:rPr>
              <w:t>-1.099</w:t>
            </w: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vAlign w:val="center"/>
          </w:tcPr>
          <w:p w:rsidR="00F60A5C" w:rsidRPr="002B7ED9" w:rsidRDefault="00F60A5C" w:rsidP="00C15471">
            <w:pPr>
              <w:spacing w:line="240" w:lineRule="auto"/>
              <w:ind w:left="-57" w:right="-57"/>
              <w:jc w:val="right"/>
              <w:rPr>
                <w:rFonts w:eastAsia="Times New Roman" w:cs="Arial"/>
                <w:color w:val="244061" w:themeColor="accent1" w:themeShade="80"/>
                <w:sz w:val="16"/>
                <w:szCs w:val="18"/>
              </w:rPr>
            </w:pPr>
            <w:r w:rsidRPr="002B7ED9">
              <w:rPr>
                <w:rFonts w:eastAsia="Times New Roman" w:cs="Arial"/>
                <w:color w:val="244061" w:themeColor="accent1" w:themeShade="80"/>
                <w:sz w:val="16"/>
                <w:szCs w:val="18"/>
              </w:rPr>
              <w:t>-10.936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vAlign w:val="center"/>
          </w:tcPr>
          <w:p w:rsidR="00F60A5C" w:rsidRPr="002B7ED9" w:rsidRDefault="00F60A5C" w:rsidP="00C15471">
            <w:pPr>
              <w:spacing w:line="240" w:lineRule="auto"/>
              <w:ind w:left="-57" w:right="-57"/>
              <w:jc w:val="right"/>
              <w:rPr>
                <w:rFonts w:eastAsia="Times New Roman" w:cs="Arial"/>
                <w:color w:val="244061" w:themeColor="accent1" w:themeShade="80"/>
                <w:sz w:val="16"/>
                <w:szCs w:val="18"/>
              </w:rPr>
            </w:pPr>
            <w:r w:rsidRPr="002B7ED9">
              <w:rPr>
                <w:rFonts w:eastAsia="Times New Roman" w:cs="Arial"/>
                <w:color w:val="244061" w:themeColor="accent1" w:themeShade="80"/>
                <w:sz w:val="16"/>
                <w:szCs w:val="18"/>
              </w:rPr>
              <w:t>-108</w:t>
            </w:r>
          </w:p>
        </w:tc>
        <w:tc>
          <w:tcPr>
            <w:tcW w:w="86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:rsidR="00F60A5C" w:rsidRPr="002B7ED9" w:rsidRDefault="00F60A5C" w:rsidP="00C15471">
            <w:pPr>
              <w:spacing w:line="240" w:lineRule="auto"/>
              <w:ind w:left="-57" w:right="-57"/>
              <w:jc w:val="right"/>
              <w:rPr>
                <w:rFonts w:eastAsia="Times New Roman" w:cs="Arial"/>
                <w:color w:val="244061" w:themeColor="accent1" w:themeShade="80"/>
                <w:sz w:val="16"/>
                <w:szCs w:val="18"/>
              </w:rPr>
            </w:pPr>
            <w:r w:rsidRPr="002B7ED9">
              <w:rPr>
                <w:rFonts w:eastAsia="Times New Roman" w:cs="Arial"/>
                <w:color w:val="244061" w:themeColor="accent1" w:themeShade="80"/>
                <w:sz w:val="16"/>
                <w:szCs w:val="18"/>
              </w:rPr>
              <w:t>-</w:t>
            </w:r>
          </w:p>
        </w:tc>
        <w:tc>
          <w:tcPr>
            <w:tcW w:w="7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:rsidR="00F60A5C" w:rsidRPr="002B7ED9" w:rsidRDefault="00F60A5C" w:rsidP="00C15471">
            <w:pPr>
              <w:spacing w:line="240" w:lineRule="auto"/>
              <w:ind w:left="-57" w:right="-57"/>
              <w:jc w:val="right"/>
              <w:rPr>
                <w:rFonts w:eastAsia="Times New Roman" w:cs="Arial"/>
                <w:color w:val="244061" w:themeColor="accent1" w:themeShade="80"/>
                <w:sz w:val="16"/>
                <w:szCs w:val="18"/>
              </w:rPr>
            </w:pPr>
            <w:r w:rsidRPr="002B7ED9">
              <w:rPr>
                <w:rFonts w:eastAsia="Times New Roman" w:cs="Arial"/>
                <w:color w:val="244061" w:themeColor="accent1" w:themeShade="80"/>
                <w:sz w:val="16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:rsidR="00F60A5C" w:rsidRPr="002B7ED9" w:rsidRDefault="00F60A5C" w:rsidP="00C15471">
            <w:pPr>
              <w:spacing w:line="240" w:lineRule="auto"/>
              <w:ind w:left="-57" w:right="-57"/>
              <w:jc w:val="right"/>
              <w:rPr>
                <w:rFonts w:eastAsia="Times New Roman" w:cs="Arial"/>
                <w:color w:val="244061" w:themeColor="accent1" w:themeShade="80"/>
                <w:sz w:val="16"/>
                <w:szCs w:val="18"/>
              </w:rPr>
            </w:pPr>
            <w:r w:rsidRPr="002B7ED9">
              <w:rPr>
                <w:rFonts w:eastAsia="Times New Roman" w:cs="Arial"/>
                <w:color w:val="244061" w:themeColor="accent1" w:themeShade="80"/>
                <w:sz w:val="16"/>
                <w:szCs w:val="18"/>
              </w:rPr>
              <w:t>-</w:t>
            </w:r>
          </w:p>
        </w:tc>
        <w:tc>
          <w:tcPr>
            <w:tcW w:w="73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:rsidR="00C15471" w:rsidRPr="002B7ED9" w:rsidRDefault="00C15471" w:rsidP="00C15471">
            <w:pPr>
              <w:spacing w:line="240" w:lineRule="auto"/>
              <w:ind w:left="-57" w:right="-57"/>
              <w:jc w:val="right"/>
              <w:rPr>
                <w:rFonts w:eastAsia="Times New Roman" w:cs="Arial"/>
                <w:color w:val="244061" w:themeColor="accent1" w:themeShade="80"/>
                <w:sz w:val="16"/>
                <w:szCs w:val="18"/>
              </w:rPr>
            </w:pPr>
            <w:r w:rsidRPr="002B7ED9">
              <w:rPr>
                <w:rFonts w:eastAsia="Times New Roman" w:cs="Arial"/>
                <w:color w:val="244061" w:themeColor="accent1" w:themeShade="80"/>
                <w:sz w:val="16"/>
                <w:szCs w:val="18"/>
              </w:rPr>
              <w:t>-</w:t>
            </w:r>
          </w:p>
        </w:tc>
      </w:tr>
      <w:tr w:rsidR="00F60A5C" w:rsidRPr="00216A58" w:rsidTr="002B7ED9">
        <w:trPr>
          <w:trHeight w:val="255"/>
          <w:jc w:val="center"/>
        </w:trPr>
        <w:tc>
          <w:tcPr>
            <w:tcW w:w="15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F60A5C" w:rsidRPr="002B7ED9" w:rsidRDefault="00F60A5C" w:rsidP="00216A58">
            <w:pPr>
              <w:spacing w:line="240" w:lineRule="auto"/>
              <w:ind w:left="-57" w:right="-57"/>
              <w:jc w:val="left"/>
              <w:rPr>
                <w:rFonts w:eastAsia="Times New Roman" w:cs="Arial"/>
                <w:bCs/>
                <w:color w:val="244061"/>
                <w:sz w:val="16"/>
                <w:szCs w:val="18"/>
                <w:lang w:eastAsia="hr-HR"/>
              </w:rPr>
            </w:pPr>
            <w:r w:rsidRPr="002B7ED9">
              <w:rPr>
                <w:rFonts w:eastAsia="Times New Roman" w:cs="Arial"/>
                <w:bCs/>
                <w:color w:val="244061"/>
                <w:sz w:val="16"/>
                <w:szCs w:val="18"/>
                <w:lang w:eastAsia="hr-HR"/>
              </w:rPr>
              <w:t>one2play maloprodaja d.o.o. u stečaju</w:t>
            </w: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F60A5C" w:rsidRPr="002B7ED9" w:rsidRDefault="00F60A5C" w:rsidP="00C15471">
            <w:pPr>
              <w:spacing w:line="240" w:lineRule="auto"/>
              <w:ind w:left="-57" w:right="-57"/>
              <w:jc w:val="right"/>
              <w:rPr>
                <w:rFonts w:eastAsia="Times New Roman" w:cs="Arial"/>
                <w:color w:val="244061" w:themeColor="accent1" w:themeShade="80"/>
                <w:sz w:val="16"/>
                <w:szCs w:val="18"/>
              </w:rPr>
            </w:pPr>
            <w:r w:rsidRPr="002B7ED9">
              <w:rPr>
                <w:rFonts w:eastAsia="Times New Roman" w:cs="Arial"/>
                <w:color w:val="244061" w:themeColor="accent1" w:themeShade="80"/>
                <w:sz w:val="16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:rsidR="00F60A5C" w:rsidRPr="002B7ED9" w:rsidRDefault="00F60A5C" w:rsidP="00C15471">
            <w:pPr>
              <w:spacing w:line="240" w:lineRule="auto"/>
              <w:ind w:left="-57" w:right="-57"/>
              <w:jc w:val="right"/>
              <w:rPr>
                <w:rFonts w:eastAsia="Times New Roman" w:cs="Arial"/>
                <w:color w:val="244061" w:themeColor="accent1" w:themeShade="80"/>
                <w:sz w:val="16"/>
                <w:szCs w:val="18"/>
              </w:rPr>
            </w:pPr>
            <w:r w:rsidRPr="002B7ED9">
              <w:rPr>
                <w:rFonts w:eastAsia="Times New Roman" w:cs="Arial"/>
                <w:color w:val="244061" w:themeColor="accent1" w:themeShade="80"/>
                <w:sz w:val="16"/>
                <w:szCs w:val="18"/>
              </w:rPr>
              <w:t>1.647</w:t>
            </w: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vAlign w:val="center"/>
          </w:tcPr>
          <w:p w:rsidR="00F60A5C" w:rsidRPr="002B7ED9" w:rsidRDefault="00F60A5C" w:rsidP="00C15471">
            <w:pPr>
              <w:spacing w:line="240" w:lineRule="auto"/>
              <w:ind w:left="-57" w:right="-57"/>
              <w:jc w:val="right"/>
              <w:rPr>
                <w:rFonts w:eastAsia="Times New Roman" w:cs="Arial"/>
                <w:color w:val="244061" w:themeColor="accent1" w:themeShade="80"/>
                <w:sz w:val="16"/>
                <w:szCs w:val="18"/>
              </w:rPr>
            </w:pPr>
            <w:r w:rsidRPr="002B7ED9">
              <w:rPr>
                <w:rFonts w:eastAsia="Times New Roman" w:cs="Arial"/>
                <w:color w:val="244061" w:themeColor="accent1" w:themeShade="80"/>
                <w:sz w:val="16"/>
                <w:szCs w:val="18"/>
              </w:rPr>
              <w:t>-9.164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vAlign w:val="center"/>
          </w:tcPr>
          <w:p w:rsidR="00F60A5C" w:rsidRPr="002B7ED9" w:rsidRDefault="00F60A5C" w:rsidP="00C15471">
            <w:pPr>
              <w:spacing w:line="240" w:lineRule="auto"/>
              <w:ind w:left="-57" w:right="-57"/>
              <w:jc w:val="right"/>
              <w:rPr>
                <w:rFonts w:eastAsia="Times New Roman" w:cs="Arial"/>
                <w:color w:val="244061" w:themeColor="accent1" w:themeShade="80"/>
                <w:sz w:val="16"/>
                <w:szCs w:val="18"/>
              </w:rPr>
            </w:pPr>
            <w:r w:rsidRPr="002B7ED9">
              <w:rPr>
                <w:rFonts w:eastAsia="Times New Roman" w:cs="Arial"/>
                <w:color w:val="244061" w:themeColor="accent1" w:themeShade="80"/>
                <w:sz w:val="16"/>
                <w:szCs w:val="18"/>
              </w:rPr>
              <w:t>-9.164</w:t>
            </w:r>
          </w:p>
        </w:tc>
        <w:tc>
          <w:tcPr>
            <w:tcW w:w="85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vAlign w:val="center"/>
          </w:tcPr>
          <w:p w:rsidR="00F60A5C" w:rsidRPr="002B7ED9" w:rsidRDefault="00F60A5C" w:rsidP="00C15471">
            <w:pPr>
              <w:spacing w:line="240" w:lineRule="auto"/>
              <w:ind w:left="-57" w:right="-57"/>
              <w:jc w:val="right"/>
              <w:rPr>
                <w:rFonts w:eastAsia="Times New Roman" w:cs="Arial"/>
                <w:color w:val="244061" w:themeColor="accent1" w:themeShade="80"/>
                <w:sz w:val="16"/>
                <w:szCs w:val="18"/>
              </w:rPr>
            </w:pPr>
            <w:r w:rsidRPr="002B7ED9">
              <w:rPr>
                <w:rFonts w:eastAsia="Times New Roman" w:cs="Arial"/>
                <w:color w:val="244061" w:themeColor="accent1" w:themeShade="80"/>
                <w:sz w:val="16"/>
                <w:szCs w:val="18"/>
              </w:rPr>
              <w:t>-994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noWrap/>
            <w:vAlign w:val="center"/>
          </w:tcPr>
          <w:p w:rsidR="00F60A5C" w:rsidRPr="002B7ED9" w:rsidRDefault="00F60A5C" w:rsidP="00C15471">
            <w:pPr>
              <w:spacing w:line="240" w:lineRule="auto"/>
              <w:ind w:left="-57" w:right="-57"/>
              <w:jc w:val="right"/>
              <w:rPr>
                <w:rFonts w:cs="Arial"/>
                <w:color w:val="244061" w:themeColor="accent1" w:themeShade="80"/>
                <w:sz w:val="16"/>
                <w:szCs w:val="18"/>
              </w:rPr>
            </w:pPr>
            <w:r w:rsidRPr="002B7ED9">
              <w:rPr>
                <w:rFonts w:cs="Arial"/>
                <w:color w:val="244061" w:themeColor="accent1" w:themeShade="80"/>
                <w:sz w:val="16"/>
                <w:szCs w:val="18"/>
              </w:rPr>
              <w:t>- 524</w:t>
            </w:r>
          </w:p>
        </w:tc>
        <w:tc>
          <w:tcPr>
            <w:tcW w:w="863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:rsidR="00F60A5C" w:rsidRPr="002B7ED9" w:rsidRDefault="00F60A5C" w:rsidP="00C15471">
            <w:pPr>
              <w:spacing w:line="240" w:lineRule="auto"/>
              <w:ind w:left="-57" w:right="-57"/>
              <w:jc w:val="right"/>
              <w:rPr>
                <w:rFonts w:cs="Arial"/>
                <w:color w:val="244061" w:themeColor="accent1" w:themeShade="80"/>
                <w:sz w:val="16"/>
                <w:szCs w:val="18"/>
              </w:rPr>
            </w:pPr>
            <w:r w:rsidRPr="002B7ED9">
              <w:rPr>
                <w:rFonts w:cs="Arial"/>
                <w:color w:val="244061" w:themeColor="accent1" w:themeShade="80"/>
                <w:sz w:val="16"/>
                <w:szCs w:val="18"/>
              </w:rPr>
              <w:t>- 6</w:t>
            </w:r>
          </w:p>
        </w:tc>
        <w:tc>
          <w:tcPr>
            <w:tcW w:w="79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:rsidR="00F60A5C" w:rsidRPr="002B7ED9" w:rsidRDefault="00F60A5C" w:rsidP="00C15471">
            <w:pPr>
              <w:spacing w:line="240" w:lineRule="auto"/>
              <w:ind w:left="-57" w:right="-57"/>
              <w:jc w:val="right"/>
              <w:rPr>
                <w:rFonts w:cs="Arial"/>
                <w:color w:val="244061" w:themeColor="accent1" w:themeShade="80"/>
                <w:sz w:val="16"/>
                <w:szCs w:val="18"/>
              </w:rPr>
            </w:pPr>
            <w:r w:rsidRPr="002B7ED9">
              <w:rPr>
                <w:rFonts w:cs="Arial"/>
                <w:color w:val="244061" w:themeColor="accent1" w:themeShade="80"/>
                <w:sz w:val="16"/>
                <w:szCs w:val="18"/>
              </w:rPr>
              <w:t>- 2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:rsidR="00F60A5C" w:rsidRPr="002B7ED9" w:rsidRDefault="00F60A5C" w:rsidP="00C15471">
            <w:pPr>
              <w:spacing w:line="240" w:lineRule="auto"/>
              <w:ind w:left="-57" w:right="-57"/>
              <w:jc w:val="right"/>
              <w:rPr>
                <w:rFonts w:cs="Arial"/>
                <w:color w:val="244061" w:themeColor="accent1" w:themeShade="80"/>
                <w:sz w:val="16"/>
                <w:szCs w:val="18"/>
              </w:rPr>
            </w:pPr>
            <w:r w:rsidRPr="002B7ED9">
              <w:rPr>
                <w:rFonts w:cs="Arial"/>
                <w:color w:val="244061" w:themeColor="accent1" w:themeShade="80"/>
                <w:sz w:val="16"/>
                <w:szCs w:val="18"/>
              </w:rPr>
              <w:t>- 15.234</w:t>
            </w:r>
          </w:p>
        </w:tc>
        <w:tc>
          <w:tcPr>
            <w:tcW w:w="73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  <w:vAlign w:val="center"/>
          </w:tcPr>
          <w:p w:rsidR="00F60A5C" w:rsidRPr="002B7ED9" w:rsidRDefault="00C15471" w:rsidP="00C15471">
            <w:pPr>
              <w:spacing w:line="240" w:lineRule="auto"/>
              <w:ind w:left="-57" w:right="-57"/>
              <w:jc w:val="right"/>
              <w:rPr>
                <w:rFonts w:cs="Arial"/>
                <w:color w:val="244061" w:themeColor="accent1" w:themeShade="80"/>
                <w:sz w:val="16"/>
                <w:szCs w:val="18"/>
              </w:rPr>
            </w:pPr>
            <w:r w:rsidRPr="002B7ED9">
              <w:rPr>
                <w:rFonts w:cs="Arial"/>
                <w:color w:val="244061" w:themeColor="accent1" w:themeShade="80"/>
                <w:sz w:val="16"/>
                <w:szCs w:val="18"/>
              </w:rPr>
              <w:t>-136</w:t>
            </w:r>
          </w:p>
        </w:tc>
      </w:tr>
    </w:tbl>
    <w:p w:rsidR="006D4A85" w:rsidRPr="006D4A85" w:rsidRDefault="006D4A85" w:rsidP="006D4A85">
      <w:pPr>
        <w:spacing w:before="40"/>
        <w:rPr>
          <w:rFonts w:eastAsia="Times New Roman"/>
          <w:color w:val="244061"/>
        </w:rPr>
      </w:pPr>
      <w:r w:rsidRPr="006D4A85">
        <w:rPr>
          <w:rFonts w:eastAsia="Times New Roman" w:cs="Arial"/>
          <w:i/>
          <w:color w:val="244061"/>
          <w:sz w:val="16"/>
          <w:szCs w:val="16"/>
          <w:lang w:eastAsia="hr-HR"/>
        </w:rPr>
        <w:t>Izvor: Fina – Registar godišnjih financijskih izvještaja</w:t>
      </w:r>
    </w:p>
    <w:p w:rsidR="00E16D16" w:rsidRDefault="00CF37A6" w:rsidP="005C4BCA">
      <w:pPr>
        <w:widowControl w:val="0"/>
        <w:spacing w:before="180"/>
        <w:rPr>
          <w:rFonts w:cs="Arial"/>
          <w:color w:val="17365D"/>
          <w:szCs w:val="20"/>
        </w:rPr>
      </w:pPr>
      <w:r w:rsidRPr="00FB596D">
        <w:rPr>
          <w:rFonts w:cs="Arial"/>
          <w:color w:val="17365D"/>
          <w:szCs w:val="20"/>
        </w:rPr>
        <w:t>Na negativan konsolidirani financijski rezultat u 2018. godini najviše je utjecao rezultat društava</w:t>
      </w:r>
      <w:r w:rsidR="00E16D16">
        <w:rPr>
          <w:rFonts w:cs="Arial"/>
          <w:color w:val="17365D"/>
          <w:szCs w:val="20"/>
        </w:rPr>
        <w:t xml:space="preserve"> </w:t>
      </w:r>
      <w:r w:rsidR="009424A9" w:rsidRPr="00FB596D">
        <w:rPr>
          <w:rFonts w:cs="Arial"/>
          <w:color w:val="17365D"/>
          <w:szCs w:val="20"/>
        </w:rPr>
        <w:t>PRODIS MALOPRODAJA d.o.o. u stečaju</w:t>
      </w:r>
      <w:r w:rsidR="009424A9" w:rsidRPr="00FB596D">
        <w:rPr>
          <w:rStyle w:val="FootnoteReference"/>
          <w:color w:val="17365D"/>
          <w:szCs w:val="20"/>
        </w:rPr>
        <w:footnoteReference w:id="4"/>
      </w:r>
      <w:r w:rsidR="009424A9" w:rsidRPr="00FB596D">
        <w:rPr>
          <w:rFonts w:cs="Arial"/>
          <w:color w:val="17365D"/>
          <w:szCs w:val="20"/>
        </w:rPr>
        <w:t xml:space="preserve"> (gubitak </w:t>
      </w:r>
      <w:r w:rsidR="009424A9" w:rsidRPr="00FB596D">
        <w:rPr>
          <w:rFonts w:cs="Arial"/>
          <w:color w:val="3E3E3E"/>
          <w:sz w:val="21"/>
          <w:szCs w:val="21"/>
        </w:rPr>
        <w:t>269.872</w:t>
      </w:r>
      <w:r w:rsidR="009424A9" w:rsidRPr="00FB596D">
        <w:rPr>
          <w:rFonts w:cs="Arial"/>
          <w:color w:val="17365D"/>
          <w:szCs w:val="20"/>
        </w:rPr>
        <w:t xml:space="preserve"> </w:t>
      </w:r>
      <w:r w:rsidR="00DB0740" w:rsidRPr="00FB596D">
        <w:rPr>
          <w:rFonts w:cs="Arial"/>
          <w:color w:val="17365D"/>
          <w:szCs w:val="20"/>
        </w:rPr>
        <w:t>kuna</w:t>
      </w:r>
      <w:r w:rsidR="009424A9" w:rsidRPr="00FB596D">
        <w:rPr>
          <w:rFonts w:cs="Arial"/>
          <w:color w:val="17365D"/>
          <w:szCs w:val="20"/>
        </w:rPr>
        <w:t>),</w:t>
      </w:r>
      <w:r w:rsidRPr="00FB596D">
        <w:rPr>
          <w:rFonts w:cs="Arial"/>
          <w:color w:val="17365D"/>
          <w:szCs w:val="20"/>
        </w:rPr>
        <w:t xml:space="preserve"> </w:t>
      </w:r>
      <w:r w:rsidR="005A73F8" w:rsidRPr="00FB596D">
        <w:rPr>
          <w:rFonts w:cs="Arial"/>
          <w:color w:val="17365D"/>
          <w:szCs w:val="20"/>
        </w:rPr>
        <w:t>P. MAXI d.o.o. u stečaju</w:t>
      </w:r>
      <w:r w:rsidR="00387AD7" w:rsidRPr="00FB596D">
        <w:rPr>
          <w:rStyle w:val="FootnoteReference"/>
          <w:color w:val="17365D"/>
          <w:szCs w:val="20"/>
        </w:rPr>
        <w:footnoteReference w:id="5"/>
      </w:r>
      <w:r w:rsidR="009424A9" w:rsidRPr="00FB596D">
        <w:t xml:space="preserve"> (gubitak </w:t>
      </w:r>
      <w:r w:rsidR="009424A9" w:rsidRPr="00FB596D">
        <w:rPr>
          <w:rFonts w:cs="Arial"/>
          <w:color w:val="17365D"/>
          <w:szCs w:val="20"/>
        </w:rPr>
        <w:t xml:space="preserve">154.354 </w:t>
      </w:r>
      <w:r w:rsidR="00DB0740" w:rsidRPr="00FB596D">
        <w:rPr>
          <w:rFonts w:cs="Arial"/>
          <w:color w:val="17365D"/>
          <w:szCs w:val="20"/>
        </w:rPr>
        <w:t>kuna</w:t>
      </w:r>
      <w:r w:rsidR="009424A9" w:rsidRPr="00FB596D">
        <w:rPr>
          <w:rFonts w:cs="Arial"/>
          <w:color w:val="17365D"/>
          <w:szCs w:val="20"/>
        </w:rPr>
        <w:t>)</w:t>
      </w:r>
      <w:r w:rsidR="005A73F8" w:rsidRPr="00FB596D">
        <w:rPr>
          <w:rFonts w:cs="Arial"/>
          <w:color w:val="17365D"/>
          <w:szCs w:val="20"/>
        </w:rPr>
        <w:t xml:space="preserve"> </w:t>
      </w:r>
      <w:r w:rsidRPr="00FB596D">
        <w:rPr>
          <w:rFonts w:cs="Arial"/>
          <w:color w:val="17365D"/>
          <w:szCs w:val="20"/>
        </w:rPr>
        <w:t xml:space="preserve">i </w:t>
      </w:r>
    </w:p>
    <w:p w:rsidR="00E16D16" w:rsidRDefault="00E16D16" w:rsidP="005C4BCA">
      <w:pPr>
        <w:widowControl w:val="0"/>
        <w:spacing w:before="180"/>
        <w:rPr>
          <w:rFonts w:cs="Arial"/>
          <w:color w:val="17365D"/>
          <w:szCs w:val="20"/>
        </w:rPr>
      </w:pPr>
    </w:p>
    <w:p w:rsidR="005C4BCA" w:rsidRDefault="00CF37A6" w:rsidP="005C4BCA">
      <w:pPr>
        <w:widowControl w:val="0"/>
        <w:spacing w:before="180"/>
        <w:rPr>
          <w:rFonts w:cs="Arial"/>
          <w:color w:val="17365D"/>
          <w:szCs w:val="20"/>
        </w:rPr>
      </w:pPr>
      <w:r w:rsidRPr="00FB596D">
        <w:rPr>
          <w:rFonts w:cs="Arial"/>
          <w:color w:val="17365D"/>
          <w:szCs w:val="20"/>
        </w:rPr>
        <w:t>TOYS4PLAY d.o.o.</w:t>
      </w:r>
      <w:r w:rsidR="00387AD7" w:rsidRPr="00FB596D">
        <w:rPr>
          <w:rFonts w:cs="Arial"/>
          <w:color w:val="17365D"/>
          <w:szCs w:val="20"/>
        </w:rPr>
        <w:t xml:space="preserve"> u stečaju</w:t>
      </w:r>
      <w:r w:rsidR="00387AD7" w:rsidRPr="00FB596D">
        <w:rPr>
          <w:rStyle w:val="FootnoteReference"/>
          <w:color w:val="17365D"/>
          <w:szCs w:val="20"/>
        </w:rPr>
        <w:footnoteReference w:id="6"/>
      </w:r>
      <w:r w:rsidRPr="00FB596D">
        <w:rPr>
          <w:rFonts w:cs="Arial"/>
          <w:color w:val="17365D"/>
          <w:szCs w:val="20"/>
        </w:rPr>
        <w:t xml:space="preserve"> </w:t>
      </w:r>
      <w:r w:rsidR="009424A9" w:rsidRPr="00FB596D">
        <w:rPr>
          <w:rFonts w:cs="Arial"/>
          <w:color w:val="17365D"/>
          <w:szCs w:val="20"/>
        </w:rPr>
        <w:t xml:space="preserve">(gubitak </w:t>
      </w:r>
      <w:r w:rsidR="005A73F8" w:rsidRPr="00FB596D">
        <w:rPr>
          <w:rFonts w:cs="Arial"/>
          <w:color w:val="17365D"/>
          <w:szCs w:val="20"/>
        </w:rPr>
        <w:t>144.779 k</w:t>
      </w:r>
      <w:r w:rsidR="00DB0740" w:rsidRPr="00FB596D">
        <w:rPr>
          <w:rFonts w:cs="Arial"/>
          <w:color w:val="17365D"/>
          <w:szCs w:val="20"/>
        </w:rPr>
        <w:t>una</w:t>
      </w:r>
      <w:r w:rsidR="009424A9" w:rsidRPr="00FB596D">
        <w:rPr>
          <w:rFonts w:cs="Arial"/>
          <w:color w:val="17365D"/>
          <w:szCs w:val="20"/>
        </w:rPr>
        <w:t>).</w:t>
      </w:r>
      <w:r w:rsidR="005A73F8" w:rsidRPr="00FB596D">
        <w:rPr>
          <w:rFonts w:cs="Arial"/>
          <w:color w:val="17365D"/>
          <w:szCs w:val="20"/>
        </w:rPr>
        <w:t xml:space="preserve"> </w:t>
      </w:r>
      <w:r w:rsidR="005C4BCA" w:rsidRPr="00FB596D">
        <w:rPr>
          <w:rFonts w:cs="Arial"/>
          <w:color w:val="17365D"/>
          <w:szCs w:val="20"/>
        </w:rPr>
        <w:t>Najveća neto dobit ostvarena je u 201</w:t>
      </w:r>
      <w:r w:rsidR="00FD44FE" w:rsidRPr="00FB596D">
        <w:rPr>
          <w:rFonts w:cs="Arial"/>
          <w:color w:val="17365D"/>
          <w:szCs w:val="20"/>
        </w:rPr>
        <w:t>7</w:t>
      </w:r>
      <w:r w:rsidR="005C4BCA" w:rsidRPr="00FB596D">
        <w:rPr>
          <w:rFonts w:cs="Arial"/>
          <w:color w:val="17365D"/>
          <w:szCs w:val="20"/>
        </w:rPr>
        <w:t xml:space="preserve">. godini i iznosila je </w:t>
      </w:r>
      <w:r w:rsidR="00FD44FE" w:rsidRPr="00FB596D">
        <w:rPr>
          <w:rFonts w:cs="Arial"/>
          <w:color w:val="17365D"/>
          <w:szCs w:val="20"/>
        </w:rPr>
        <w:t>349</w:t>
      </w:r>
      <w:r w:rsidR="005C4BCA" w:rsidRPr="00FB596D">
        <w:rPr>
          <w:rFonts w:cs="Arial"/>
          <w:color w:val="17365D"/>
          <w:szCs w:val="20"/>
        </w:rPr>
        <w:t xml:space="preserve"> tisuć</w:t>
      </w:r>
      <w:r w:rsidR="00FD44FE" w:rsidRPr="00FB596D">
        <w:rPr>
          <w:rFonts w:cs="Arial"/>
          <w:color w:val="17365D"/>
          <w:szCs w:val="20"/>
        </w:rPr>
        <w:t>a</w:t>
      </w:r>
      <w:r w:rsidR="005C4BCA" w:rsidRPr="00FB596D">
        <w:rPr>
          <w:rFonts w:cs="Arial"/>
          <w:color w:val="17365D"/>
          <w:szCs w:val="20"/>
        </w:rPr>
        <w:t xml:space="preserve"> kuna, dok je najveću neto dobit u 20</w:t>
      </w:r>
      <w:r w:rsidR="00FD44FE" w:rsidRPr="00FB596D">
        <w:rPr>
          <w:rFonts w:cs="Arial"/>
          <w:color w:val="17365D"/>
          <w:szCs w:val="20"/>
        </w:rPr>
        <w:t>20</w:t>
      </w:r>
      <w:r w:rsidR="005C4BCA" w:rsidRPr="00FB596D">
        <w:rPr>
          <w:rFonts w:cs="Arial"/>
          <w:color w:val="17365D"/>
          <w:szCs w:val="20"/>
        </w:rPr>
        <w:t xml:space="preserve">. godini ostvario </w:t>
      </w:r>
      <w:r w:rsidR="00FD44FE" w:rsidRPr="00FB596D">
        <w:rPr>
          <w:rFonts w:cs="Arial"/>
          <w:color w:val="17365D"/>
          <w:szCs w:val="20"/>
        </w:rPr>
        <w:t>mali poduzetnik ARANEA TOYS d.o.o.</w:t>
      </w:r>
      <w:r w:rsidR="005C4BCA" w:rsidRPr="00FB596D">
        <w:rPr>
          <w:rFonts w:cs="Arial"/>
          <w:color w:val="17365D"/>
          <w:szCs w:val="20"/>
        </w:rPr>
        <w:t xml:space="preserve"> iz </w:t>
      </w:r>
      <w:r w:rsidR="00FD44FE" w:rsidRPr="00FB596D">
        <w:rPr>
          <w:rFonts w:cs="Arial"/>
          <w:color w:val="17365D"/>
          <w:szCs w:val="20"/>
        </w:rPr>
        <w:t>Zagreba</w:t>
      </w:r>
      <w:r w:rsidR="005C4BCA" w:rsidRPr="00FB596D">
        <w:rPr>
          <w:rFonts w:cs="Arial"/>
          <w:color w:val="17365D"/>
          <w:szCs w:val="20"/>
        </w:rPr>
        <w:t xml:space="preserve"> (</w:t>
      </w:r>
      <w:r w:rsidR="00FD44FE" w:rsidRPr="00FB596D">
        <w:rPr>
          <w:rFonts w:cs="Arial"/>
          <w:color w:val="17365D"/>
          <w:szCs w:val="20"/>
        </w:rPr>
        <w:t>483</w:t>
      </w:r>
      <w:r w:rsidR="005C4BCA" w:rsidRPr="00FB596D">
        <w:rPr>
          <w:rFonts w:cs="Arial"/>
          <w:color w:val="17365D"/>
          <w:szCs w:val="20"/>
        </w:rPr>
        <w:t xml:space="preserve"> tisuć</w:t>
      </w:r>
      <w:r w:rsidR="00FD44FE" w:rsidRPr="00FB596D">
        <w:rPr>
          <w:rFonts w:cs="Arial"/>
          <w:color w:val="17365D"/>
          <w:szCs w:val="20"/>
        </w:rPr>
        <w:t>e</w:t>
      </w:r>
      <w:r w:rsidR="005C4BCA" w:rsidRPr="00FB596D">
        <w:rPr>
          <w:rFonts w:cs="Arial"/>
          <w:color w:val="17365D"/>
          <w:szCs w:val="20"/>
        </w:rPr>
        <w:t xml:space="preserve"> kuna).</w:t>
      </w:r>
    </w:p>
    <w:p w:rsidR="00E1566D" w:rsidRDefault="00E1566D" w:rsidP="00ED63FD">
      <w:pPr>
        <w:widowControl w:val="0"/>
        <w:tabs>
          <w:tab w:val="left" w:pos="1134"/>
          <w:tab w:val="left" w:pos="8222"/>
        </w:tabs>
        <w:spacing w:before="180" w:after="40" w:line="240" w:lineRule="auto"/>
        <w:rPr>
          <w:rFonts w:cs="Arial"/>
          <w:color w:val="17365D" w:themeColor="text2" w:themeShade="BF"/>
          <w:sz w:val="16"/>
          <w:szCs w:val="16"/>
        </w:rPr>
      </w:pPr>
      <w:r w:rsidRPr="0046590F">
        <w:rPr>
          <w:b/>
          <w:color w:val="17365D" w:themeColor="text2" w:themeShade="BF"/>
          <w:sz w:val="18"/>
          <w:szCs w:val="18"/>
          <w:lang w:eastAsia="hr-HR"/>
        </w:rPr>
        <w:t xml:space="preserve">Tablica </w:t>
      </w:r>
      <w:r w:rsidR="00D02C44" w:rsidRPr="0046590F">
        <w:rPr>
          <w:b/>
          <w:color w:val="17365D" w:themeColor="text2" w:themeShade="BF"/>
          <w:sz w:val="18"/>
          <w:szCs w:val="18"/>
          <w:lang w:eastAsia="hr-HR"/>
        </w:rPr>
        <w:t>3</w:t>
      </w:r>
      <w:r w:rsidR="003A4624" w:rsidRPr="0046590F">
        <w:rPr>
          <w:b/>
          <w:color w:val="17365D" w:themeColor="text2" w:themeShade="BF"/>
          <w:sz w:val="18"/>
          <w:szCs w:val="18"/>
          <w:lang w:eastAsia="hr-HR"/>
        </w:rPr>
        <w:t>.</w:t>
      </w:r>
      <w:r w:rsidR="003A4624" w:rsidRPr="0046590F">
        <w:rPr>
          <w:b/>
          <w:color w:val="17365D" w:themeColor="text2" w:themeShade="BF"/>
          <w:sz w:val="18"/>
          <w:szCs w:val="18"/>
          <w:lang w:eastAsia="hr-HR"/>
        </w:rPr>
        <w:tab/>
        <w:t>Top pet</w:t>
      </w:r>
      <w:r w:rsidRPr="0046590F">
        <w:rPr>
          <w:b/>
          <w:color w:val="17365D" w:themeColor="text2" w:themeShade="BF"/>
          <w:sz w:val="18"/>
          <w:szCs w:val="18"/>
          <w:lang w:eastAsia="hr-HR"/>
        </w:rPr>
        <w:t xml:space="preserve"> poduzetnika po ukupn</w:t>
      </w:r>
      <w:r w:rsidR="00467C9C" w:rsidRPr="0046590F">
        <w:rPr>
          <w:b/>
          <w:color w:val="17365D" w:themeColor="text2" w:themeShade="BF"/>
          <w:sz w:val="18"/>
          <w:szCs w:val="18"/>
          <w:lang w:eastAsia="hr-HR"/>
        </w:rPr>
        <w:t>im</w:t>
      </w:r>
      <w:r w:rsidRPr="0046590F">
        <w:rPr>
          <w:b/>
          <w:color w:val="17365D" w:themeColor="text2" w:themeShade="BF"/>
          <w:sz w:val="18"/>
          <w:szCs w:val="18"/>
          <w:lang w:eastAsia="hr-HR"/>
        </w:rPr>
        <w:t xml:space="preserve"> prihod</w:t>
      </w:r>
      <w:r w:rsidR="00467C9C" w:rsidRPr="0046590F">
        <w:rPr>
          <w:b/>
          <w:color w:val="17365D" w:themeColor="text2" w:themeShade="BF"/>
          <w:sz w:val="18"/>
          <w:szCs w:val="18"/>
          <w:lang w:eastAsia="hr-HR"/>
        </w:rPr>
        <w:t>ima</w:t>
      </w:r>
      <w:r w:rsidRPr="0046590F">
        <w:rPr>
          <w:b/>
          <w:color w:val="17365D" w:themeColor="text2" w:themeShade="BF"/>
          <w:sz w:val="18"/>
          <w:szCs w:val="18"/>
          <w:lang w:eastAsia="hr-HR"/>
        </w:rPr>
        <w:t xml:space="preserve"> u 20</w:t>
      </w:r>
      <w:r w:rsidR="00C15471" w:rsidRPr="0046590F">
        <w:rPr>
          <w:b/>
          <w:color w:val="17365D" w:themeColor="text2" w:themeShade="BF"/>
          <w:sz w:val="18"/>
          <w:szCs w:val="18"/>
          <w:lang w:eastAsia="hr-HR"/>
        </w:rPr>
        <w:t>20</w:t>
      </w:r>
      <w:r w:rsidRPr="0046590F">
        <w:rPr>
          <w:b/>
          <w:color w:val="17365D" w:themeColor="text2" w:themeShade="BF"/>
          <w:sz w:val="18"/>
          <w:szCs w:val="18"/>
          <w:lang w:eastAsia="hr-HR"/>
        </w:rPr>
        <w:t>. g. u razredu djelatnosti 47.65</w:t>
      </w:r>
      <w:r w:rsidRPr="0046590F">
        <w:rPr>
          <w:b/>
          <w:color w:val="17365D" w:themeColor="text2" w:themeShade="BF"/>
          <w:sz w:val="19"/>
          <w:szCs w:val="19"/>
          <w:lang w:eastAsia="hr-HR"/>
        </w:rPr>
        <w:tab/>
      </w:r>
      <w:r w:rsidR="003A4624" w:rsidRPr="0046590F">
        <w:rPr>
          <w:b/>
          <w:color w:val="17365D" w:themeColor="text2" w:themeShade="BF"/>
          <w:sz w:val="19"/>
          <w:szCs w:val="19"/>
          <w:lang w:eastAsia="hr-HR"/>
        </w:rPr>
        <w:t xml:space="preserve">  </w:t>
      </w:r>
      <w:r w:rsidRPr="0046590F">
        <w:rPr>
          <w:rFonts w:cs="Arial"/>
          <w:color w:val="17365D" w:themeColor="text2" w:themeShade="BF"/>
          <w:sz w:val="16"/>
          <w:szCs w:val="16"/>
        </w:rPr>
        <w:t>(iznosi u tisućama kn)</w:t>
      </w:r>
    </w:p>
    <w:tbl>
      <w:tblPr>
        <w:tblW w:w="9894" w:type="dxa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14"/>
        <w:gridCol w:w="1420"/>
        <w:gridCol w:w="3479"/>
        <w:gridCol w:w="980"/>
        <w:gridCol w:w="1222"/>
        <w:gridCol w:w="1054"/>
        <w:gridCol w:w="1125"/>
      </w:tblGrid>
      <w:tr w:rsidR="00C15471" w:rsidRPr="00C15471" w:rsidTr="00A72998">
        <w:trPr>
          <w:trHeight w:hRule="exact" w:val="383"/>
          <w:jc w:val="center"/>
        </w:trPr>
        <w:tc>
          <w:tcPr>
            <w:tcW w:w="6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244062"/>
            <w:vAlign w:val="center"/>
            <w:hideMark/>
          </w:tcPr>
          <w:p w:rsidR="00C15471" w:rsidRPr="00C15471" w:rsidRDefault="00C15471" w:rsidP="00C1547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6"/>
                <w:szCs w:val="16"/>
              </w:rPr>
            </w:pPr>
            <w:r w:rsidRPr="00C15471">
              <w:rPr>
                <w:rFonts w:eastAsia="Times New Roman" w:cs="Arial"/>
                <w:b/>
                <w:bCs/>
                <w:color w:val="FFFFFF"/>
                <w:sz w:val="16"/>
                <w:szCs w:val="16"/>
              </w:rPr>
              <w:t>R. br.</w:t>
            </w:r>
          </w:p>
        </w:tc>
        <w:tc>
          <w:tcPr>
            <w:tcW w:w="142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244062"/>
            <w:vAlign w:val="center"/>
            <w:hideMark/>
          </w:tcPr>
          <w:p w:rsidR="00C15471" w:rsidRPr="00C15471" w:rsidRDefault="00C15471" w:rsidP="00C1547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6"/>
                <w:szCs w:val="16"/>
              </w:rPr>
            </w:pPr>
            <w:r w:rsidRPr="00C15471">
              <w:rPr>
                <w:rFonts w:eastAsia="Times New Roman" w:cs="Arial"/>
                <w:b/>
                <w:bCs/>
                <w:color w:val="FFFFFF"/>
                <w:sz w:val="16"/>
                <w:szCs w:val="16"/>
              </w:rPr>
              <w:t>OIB</w:t>
            </w:r>
          </w:p>
        </w:tc>
        <w:tc>
          <w:tcPr>
            <w:tcW w:w="3479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244062"/>
            <w:vAlign w:val="center"/>
            <w:hideMark/>
          </w:tcPr>
          <w:p w:rsidR="00C15471" w:rsidRPr="00C15471" w:rsidRDefault="00C15471" w:rsidP="00C1547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6"/>
                <w:szCs w:val="16"/>
              </w:rPr>
            </w:pPr>
            <w:r w:rsidRPr="00C15471">
              <w:rPr>
                <w:rFonts w:eastAsia="Times New Roman" w:cs="Arial"/>
                <w:b/>
                <w:bCs/>
                <w:color w:val="FFFFFF"/>
                <w:sz w:val="16"/>
                <w:szCs w:val="16"/>
              </w:rPr>
              <w:t>Naziv</w:t>
            </w:r>
          </w:p>
        </w:tc>
        <w:tc>
          <w:tcPr>
            <w:tcW w:w="98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244062"/>
            <w:vAlign w:val="center"/>
            <w:hideMark/>
          </w:tcPr>
          <w:p w:rsidR="00C15471" w:rsidRPr="00C15471" w:rsidRDefault="00C15471" w:rsidP="00C1547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6"/>
                <w:szCs w:val="16"/>
              </w:rPr>
            </w:pPr>
            <w:r w:rsidRPr="00C15471">
              <w:rPr>
                <w:rFonts w:eastAsia="Times New Roman" w:cs="Arial"/>
                <w:b/>
                <w:bCs/>
                <w:color w:val="FFFFFF"/>
                <w:sz w:val="16"/>
                <w:szCs w:val="16"/>
              </w:rPr>
              <w:t>Sjedište</w:t>
            </w:r>
          </w:p>
        </w:tc>
        <w:tc>
          <w:tcPr>
            <w:tcW w:w="122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244062"/>
            <w:vAlign w:val="center"/>
            <w:hideMark/>
          </w:tcPr>
          <w:p w:rsidR="00C15471" w:rsidRPr="00C15471" w:rsidRDefault="00C15471" w:rsidP="00C1547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6"/>
                <w:szCs w:val="16"/>
              </w:rPr>
            </w:pPr>
            <w:r w:rsidRPr="00C15471">
              <w:rPr>
                <w:rFonts w:eastAsia="Times New Roman" w:cs="Arial"/>
                <w:b/>
                <w:bCs/>
                <w:color w:val="FFFFFF"/>
                <w:sz w:val="16"/>
                <w:szCs w:val="16"/>
              </w:rPr>
              <w:t>Broj zaposlenih</w:t>
            </w:r>
          </w:p>
        </w:tc>
        <w:tc>
          <w:tcPr>
            <w:tcW w:w="105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244062"/>
            <w:vAlign w:val="center"/>
            <w:hideMark/>
          </w:tcPr>
          <w:p w:rsidR="00C15471" w:rsidRPr="00C15471" w:rsidRDefault="00C15471" w:rsidP="00C1547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6"/>
                <w:szCs w:val="16"/>
              </w:rPr>
            </w:pPr>
            <w:r w:rsidRPr="00C15471">
              <w:rPr>
                <w:rFonts w:eastAsia="Times New Roman" w:cs="Arial"/>
                <w:b/>
                <w:bCs/>
                <w:color w:val="FFFFFF"/>
                <w:sz w:val="16"/>
                <w:szCs w:val="16"/>
              </w:rPr>
              <w:t>Ukupni prihodi</w:t>
            </w:r>
          </w:p>
        </w:tc>
        <w:tc>
          <w:tcPr>
            <w:tcW w:w="1125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244062"/>
            <w:vAlign w:val="center"/>
            <w:hideMark/>
          </w:tcPr>
          <w:p w:rsidR="00C15471" w:rsidRPr="00C15471" w:rsidRDefault="00C15471" w:rsidP="00C15471">
            <w:pPr>
              <w:spacing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16"/>
                <w:szCs w:val="16"/>
              </w:rPr>
            </w:pPr>
            <w:r w:rsidRPr="00C15471">
              <w:rPr>
                <w:rFonts w:eastAsia="Times New Roman" w:cs="Arial"/>
                <w:b/>
                <w:bCs/>
                <w:color w:val="FFFFFF"/>
                <w:sz w:val="16"/>
                <w:szCs w:val="16"/>
              </w:rPr>
              <w:t>Dobit razdoblja</w:t>
            </w:r>
          </w:p>
        </w:tc>
      </w:tr>
      <w:tr w:rsidR="00A72998" w:rsidRPr="00C15471" w:rsidTr="00A72998">
        <w:trPr>
          <w:trHeight w:hRule="exact" w:val="301"/>
          <w:jc w:val="center"/>
        </w:trPr>
        <w:tc>
          <w:tcPr>
            <w:tcW w:w="61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15471" w:rsidRPr="00C15471" w:rsidRDefault="00C15471" w:rsidP="00C15471">
            <w:pPr>
              <w:spacing w:line="240" w:lineRule="auto"/>
              <w:jc w:val="center"/>
              <w:rPr>
                <w:rFonts w:eastAsia="Times New Roman" w:cs="Arial"/>
                <w:color w:val="00325A"/>
                <w:sz w:val="18"/>
                <w:szCs w:val="18"/>
              </w:rPr>
            </w:pPr>
            <w:r w:rsidRPr="00C15471">
              <w:rPr>
                <w:rFonts w:eastAsia="Times New Roman" w:cs="Arial"/>
                <w:color w:val="00325A"/>
                <w:sz w:val="18"/>
                <w:szCs w:val="18"/>
              </w:rPr>
              <w:t>1.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15471" w:rsidRPr="00C15471" w:rsidRDefault="00C15471" w:rsidP="00C15471">
            <w:pPr>
              <w:spacing w:line="240" w:lineRule="auto"/>
              <w:jc w:val="center"/>
              <w:rPr>
                <w:rFonts w:eastAsia="Times New Roman" w:cs="Arial"/>
                <w:color w:val="17365D"/>
                <w:sz w:val="18"/>
                <w:szCs w:val="18"/>
              </w:rPr>
            </w:pPr>
            <w:r w:rsidRPr="00C15471">
              <w:rPr>
                <w:rFonts w:eastAsia="Times New Roman" w:cs="Arial"/>
                <w:color w:val="17365D"/>
                <w:sz w:val="18"/>
                <w:szCs w:val="18"/>
              </w:rPr>
              <w:t>99965974590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15471" w:rsidRPr="00C15471" w:rsidRDefault="00C15471" w:rsidP="00C15471">
            <w:pPr>
              <w:spacing w:line="240" w:lineRule="auto"/>
              <w:jc w:val="left"/>
              <w:rPr>
                <w:rFonts w:eastAsia="Times New Roman" w:cs="Arial"/>
                <w:color w:val="17365D"/>
                <w:sz w:val="18"/>
                <w:szCs w:val="18"/>
              </w:rPr>
            </w:pPr>
            <w:r w:rsidRPr="00C15471">
              <w:rPr>
                <w:rFonts w:eastAsia="Times New Roman" w:cs="Arial"/>
                <w:color w:val="17365D"/>
                <w:sz w:val="18"/>
                <w:szCs w:val="18"/>
              </w:rPr>
              <w:t>ARANEA TOYS d.o.o.</w:t>
            </w:r>
            <w:r w:rsidR="00791D67">
              <w:rPr>
                <w:rStyle w:val="FootnoteReference"/>
                <w:rFonts w:eastAsia="Times New Roman"/>
                <w:color w:val="17365D"/>
                <w:sz w:val="18"/>
                <w:szCs w:val="18"/>
              </w:rPr>
              <w:footnoteReference w:id="7"/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15471" w:rsidRPr="00C15471" w:rsidRDefault="00C15471" w:rsidP="00C15471">
            <w:pPr>
              <w:spacing w:line="240" w:lineRule="auto"/>
              <w:jc w:val="center"/>
              <w:rPr>
                <w:rFonts w:eastAsia="Times New Roman" w:cs="Arial"/>
                <w:color w:val="17365D"/>
                <w:sz w:val="18"/>
                <w:szCs w:val="18"/>
              </w:rPr>
            </w:pPr>
            <w:r w:rsidRPr="00C15471">
              <w:rPr>
                <w:rFonts w:eastAsia="Times New Roman" w:cs="Arial"/>
                <w:color w:val="17365D"/>
                <w:sz w:val="18"/>
                <w:szCs w:val="18"/>
              </w:rPr>
              <w:t>Zagreb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15471" w:rsidRPr="00C15471" w:rsidRDefault="00C15471" w:rsidP="00C15471">
            <w:pPr>
              <w:spacing w:line="240" w:lineRule="auto"/>
              <w:jc w:val="right"/>
              <w:rPr>
                <w:rFonts w:eastAsia="Times New Roman" w:cs="Arial"/>
                <w:color w:val="17365D"/>
                <w:sz w:val="18"/>
                <w:szCs w:val="18"/>
              </w:rPr>
            </w:pPr>
            <w:r w:rsidRPr="00C15471">
              <w:rPr>
                <w:rFonts w:eastAsia="Times New Roman" w:cs="Arial"/>
                <w:color w:val="17365D"/>
                <w:sz w:val="18"/>
                <w:szCs w:val="18"/>
              </w:rPr>
              <w:t>26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15471" w:rsidRPr="00C15471" w:rsidRDefault="00C15471" w:rsidP="00C15471">
            <w:pPr>
              <w:spacing w:line="240" w:lineRule="auto"/>
              <w:jc w:val="right"/>
              <w:rPr>
                <w:rFonts w:eastAsia="Times New Roman" w:cs="Arial"/>
                <w:color w:val="17365D"/>
                <w:sz w:val="18"/>
                <w:szCs w:val="18"/>
              </w:rPr>
            </w:pPr>
            <w:r w:rsidRPr="00C15471">
              <w:rPr>
                <w:rFonts w:eastAsia="Times New Roman" w:cs="Arial"/>
                <w:color w:val="17365D"/>
                <w:sz w:val="18"/>
                <w:szCs w:val="18"/>
              </w:rPr>
              <w:t>19.205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15471" w:rsidRPr="00C15471" w:rsidRDefault="00C15471" w:rsidP="00C15471">
            <w:pPr>
              <w:spacing w:line="240" w:lineRule="auto"/>
              <w:jc w:val="right"/>
              <w:rPr>
                <w:rFonts w:eastAsia="Times New Roman" w:cs="Arial"/>
                <w:color w:val="17365D"/>
                <w:sz w:val="18"/>
                <w:szCs w:val="18"/>
              </w:rPr>
            </w:pPr>
            <w:r w:rsidRPr="00C15471">
              <w:rPr>
                <w:rFonts w:eastAsia="Times New Roman" w:cs="Arial"/>
                <w:color w:val="17365D"/>
                <w:sz w:val="18"/>
                <w:szCs w:val="18"/>
              </w:rPr>
              <w:t>483</w:t>
            </w:r>
          </w:p>
        </w:tc>
      </w:tr>
      <w:tr w:rsidR="00A72998" w:rsidRPr="00C15471" w:rsidTr="00A72998">
        <w:trPr>
          <w:trHeight w:hRule="exact" w:val="301"/>
          <w:jc w:val="center"/>
        </w:trPr>
        <w:tc>
          <w:tcPr>
            <w:tcW w:w="61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15471" w:rsidRPr="00C15471" w:rsidRDefault="00C15471" w:rsidP="00C15471">
            <w:pPr>
              <w:spacing w:line="240" w:lineRule="auto"/>
              <w:jc w:val="center"/>
              <w:rPr>
                <w:rFonts w:eastAsia="Times New Roman" w:cs="Arial"/>
                <w:color w:val="17365D"/>
                <w:sz w:val="18"/>
                <w:szCs w:val="18"/>
              </w:rPr>
            </w:pPr>
            <w:r w:rsidRPr="00C15471">
              <w:rPr>
                <w:rFonts w:eastAsia="Times New Roman" w:cs="Arial"/>
                <w:color w:val="17365D"/>
                <w:sz w:val="18"/>
                <w:szCs w:val="18"/>
              </w:rPr>
              <w:t>2.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15471" w:rsidRPr="00C15471" w:rsidRDefault="00C15471" w:rsidP="00C15471">
            <w:pPr>
              <w:spacing w:line="240" w:lineRule="auto"/>
              <w:jc w:val="center"/>
              <w:rPr>
                <w:rFonts w:eastAsia="Times New Roman" w:cs="Arial"/>
                <w:color w:val="17365D"/>
                <w:sz w:val="18"/>
                <w:szCs w:val="18"/>
              </w:rPr>
            </w:pPr>
            <w:r w:rsidRPr="00C15471">
              <w:rPr>
                <w:rFonts w:eastAsia="Times New Roman" w:cs="Arial"/>
                <w:color w:val="17365D"/>
                <w:sz w:val="18"/>
                <w:szCs w:val="18"/>
              </w:rPr>
              <w:t>44225131109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15471" w:rsidRPr="00C15471" w:rsidRDefault="00C15471" w:rsidP="00C15471">
            <w:pPr>
              <w:spacing w:line="240" w:lineRule="auto"/>
              <w:jc w:val="left"/>
              <w:rPr>
                <w:rFonts w:eastAsia="Times New Roman" w:cs="Arial"/>
                <w:color w:val="17365D"/>
                <w:sz w:val="18"/>
                <w:szCs w:val="18"/>
              </w:rPr>
            </w:pPr>
            <w:r w:rsidRPr="00C15471">
              <w:rPr>
                <w:rFonts w:eastAsia="Times New Roman" w:cs="Arial"/>
                <w:color w:val="17365D"/>
                <w:sz w:val="18"/>
                <w:szCs w:val="18"/>
              </w:rPr>
              <w:t>EUROM DENIS MALOPRODAJA d.o.o.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15471" w:rsidRPr="00C15471" w:rsidRDefault="00C15471" w:rsidP="00C15471">
            <w:pPr>
              <w:spacing w:line="240" w:lineRule="auto"/>
              <w:jc w:val="center"/>
              <w:rPr>
                <w:rFonts w:eastAsia="Times New Roman" w:cs="Arial"/>
                <w:color w:val="17365D"/>
                <w:sz w:val="18"/>
                <w:szCs w:val="18"/>
              </w:rPr>
            </w:pPr>
            <w:r w:rsidRPr="00C15471">
              <w:rPr>
                <w:rFonts w:eastAsia="Times New Roman" w:cs="Arial"/>
                <w:color w:val="17365D"/>
                <w:sz w:val="18"/>
                <w:szCs w:val="18"/>
              </w:rPr>
              <w:t>Zagreb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15471" w:rsidRPr="00C15471" w:rsidRDefault="00C15471" w:rsidP="00C15471">
            <w:pPr>
              <w:spacing w:line="240" w:lineRule="auto"/>
              <w:jc w:val="right"/>
              <w:rPr>
                <w:rFonts w:eastAsia="Times New Roman" w:cs="Arial"/>
                <w:color w:val="17365D"/>
                <w:sz w:val="18"/>
                <w:szCs w:val="18"/>
              </w:rPr>
            </w:pPr>
            <w:r w:rsidRPr="00C15471">
              <w:rPr>
                <w:rFonts w:eastAsia="Times New Roman" w:cs="Arial"/>
                <w:color w:val="17365D"/>
                <w:sz w:val="18"/>
                <w:szCs w:val="18"/>
              </w:rPr>
              <w:t>49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15471" w:rsidRPr="00C15471" w:rsidRDefault="00C15471" w:rsidP="00C15471">
            <w:pPr>
              <w:spacing w:line="240" w:lineRule="auto"/>
              <w:jc w:val="right"/>
              <w:rPr>
                <w:rFonts w:eastAsia="Times New Roman" w:cs="Arial"/>
                <w:color w:val="17365D"/>
                <w:sz w:val="18"/>
                <w:szCs w:val="18"/>
              </w:rPr>
            </w:pPr>
            <w:r w:rsidRPr="00C15471">
              <w:rPr>
                <w:rFonts w:eastAsia="Times New Roman" w:cs="Arial"/>
                <w:color w:val="17365D"/>
                <w:sz w:val="18"/>
                <w:szCs w:val="18"/>
              </w:rPr>
              <w:t>15.796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15471" w:rsidRPr="00C15471" w:rsidRDefault="00C15471" w:rsidP="00C15471">
            <w:pPr>
              <w:spacing w:line="240" w:lineRule="auto"/>
              <w:jc w:val="right"/>
              <w:rPr>
                <w:rFonts w:eastAsia="Times New Roman" w:cs="Arial"/>
                <w:color w:val="17365D"/>
                <w:sz w:val="18"/>
                <w:szCs w:val="18"/>
              </w:rPr>
            </w:pPr>
            <w:r w:rsidRPr="00C15471">
              <w:rPr>
                <w:rFonts w:eastAsia="Times New Roman" w:cs="Arial"/>
                <w:color w:val="17365D"/>
                <w:sz w:val="18"/>
                <w:szCs w:val="18"/>
              </w:rPr>
              <w:t>0</w:t>
            </w:r>
          </w:p>
        </w:tc>
      </w:tr>
      <w:tr w:rsidR="00A72998" w:rsidRPr="00C15471" w:rsidTr="00A72998">
        <w:trPr>
          <w:trHeight w:hRule="exact" w:val="301"/>
          <w:jc w:val="center"/>
        </w:trPr>
        <w:tc>
          <w:tcPr>
            <w:tcW w:w="61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15471" w:rsidRPr="00C15471" w:rsidRDefault="00C15471" w:rsidP="00C15471">
            <w:pPr>
              <w:spacing w:line="240" w:lineRule="auto"/>
              <w:jc w:val="center"/>
              <w:rPr>
                <w:rFonts w:eastAsia="Times New Roman" w:cs="Arial"/>
                <w:color w:val="17365D"/>
                <w:sz w:val="18"/>
                <w:szCs w:val="18"/>
              </w:rPr>
            </w:pPr>
            <w:r w:rsidRPr="00C15471">
              <w:rPr>
                <w:rFonts w:eastAsia="Times New Roman" w:cs="Arial"/>
                <w:color w:val="17365D"/>
                <w:sz w:val="18"/>
                <w:szCs w:val="18"/>
              </w:rPr>
              <w:t>3.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15471" w:rsidRPr="00C15471" w:rsidRDefault="00C15471" w:rsidP="00C15471">
            <w:pPr>
              <w:spacing w:line="240" w:lineRule="auto"/>
              <w:jc w:val="center"/>
              <w:rPr>
                <w:rFonts w:eastAsia="Times New Roman" w:cs="Arial"/>
                <w:color w:val="17365D"/>
                <w:sz w:val="18"/>
                <w:szCs w:val="18"/>
              </w:rPr>
            </w:pPr>
            <w:r w:rsidRPr="00C15471">
              <w:rPr>
                <w:rFonts w:eastAsia="Times New Roman" w:cs="Arial"/>
                <w:color w:val="17365D"/>
                <w:sz w:val="18"/>
                <w:szCs w:val="18"/>
              </w:rPr>
              <w:t>72438732598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15471" w:rsidRPr="00C15471" w:rsidRDefault="00C15471" w:rsidP="00C15471">
            <w:pPr>
              <w:spacing w:line="240" w:lineRule="auto"/>
              <w:jc w:val="left"/>
              <w:rPr>
                <w:rFonts w:eastAsia="Times New Roman" w:cs="Arial"/>
                <w:color w:val="17365D"/>
                <w:sz w:val="18"/>
                <w:szCs w:val="18"/>
              </w:rPr>
            </w:pPr>
            <w:r w:rsidRPr="00C15471">
              <w:rPr>
                <w:rFonts w:eastAsia="Times New Roman" w:cs="Arial"/>
                <w:color w:val="17365D"/>
                <w:sz w:val="18"/>
                <w:szCs w:val="18"/>
              </w:rPr>
              <w:t>INTEKS PROMET d.o.o.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15471" w:rsidRPr="00C15471" w:rsidRDefault="00C15471" w:rsidP="00C15471">
            <w:pPr>
              <w:spacing w:line="240" w:lineRule="auto"/>
              <w:jc w:val="center"/>
              <w:rPr>
                <w:rFonts w:eastAsia="Times New Roman" w:cs="Arial"/>
                <w:color w:val="17365D"/>
                <w:sz w:val="18"/>
                <w:szCs w:val="18"/>
              </w:rPr>
            </w:pPr>
            <w:r w:rsidRPr="00C15471">
              <w:rPr>
                <w:rFonts w:eastAsia="Times New Roman" w:cs="Arial"/>
                <w:color w:val="17365D"/>
                <w:sz w:val="18"/>
                <w:szCs w:val="18"/>
              </w:rPr>
              <w:t>Zagreb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15471" w:rsidRPr="00C15471" w:rsidRDefault="00C15471" w:rsidP="00C15471">
            <w:pPr>
              <w:spacing w:line="240" w:lineRule="auto"/>
              <w:jc w:val="right"/>
              <w:rPr>
                <w:rFonts w:eastAsia="Times New Roman" w:cs="Arial"/>
                <w:color w:val="17365D"/>
                <w:sz w:val="18"/>
                <w:szCs w:val="18"/>
              </w:rPr>
            </w:pPr>
            <w:r w:rsidRPr="00C15471">
              <w:rPr>
                <w:rFonts w:eastAsia="Times New Roman" w:cs="Arial"/>
                <w:color w:val="17365D"/>
                <w:sz w:val="18"/>
                <w:szCs w:val="18"/>
              </w:rPr>
              <w:t>3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15471" w:rsidRPr="00C15471" w:rsidRDefault="00C15471" w:rsidP="00C15471">
            <w:pPr>
              <w:spacing w:line="240" w:lineRule="auto"/>
              <w:jc w:val="right"/>
              <w:rPr>
                <w:rFonts w:eastAsia="Times New Roman" w:cs="Arial"/>
                <w:color w:val="17365D"/>
                <w:sz w:val="18"/>
                <w:szCs w:val="18"/>
              </w:rPr>
            </w:pPr>
            <w:r w:rsidRPr="00C15471">
              <w:rPr>
                <w:rFonts w:eastAsia="Times New Roman" w:cs="Arial"/>
                <w:color w:val="17365D"/>
                <w:sz w:val="18"/>
                <w:szCs w:val="18"/>
              </w:rPr>
              <w:t>2.796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15471" w:rsidRPr="00C15471" w:rsidRDefault="00C15471" w:rsidP="00C15471">
            <w:pPr>
              <w:spacing w:line="240" w:lineRule="auto"/>
              <w:jc w:val="right"/>
              <w:rPr>
                <w:rFonts w:eastAsia="Times New Roman" w:cs="Arial"/>
                <w:color w:val="17365D"/>
                <w:sz w:val="18"/>
                <w:szCs w:val="18"/>
              </w:rPr>
            </w:pPr>
            <w:r w:rsidRPr="00C15471">
              <w:rPr>
                <w:rFonts w:eastAsia="Times New Roman" w:cs="Arial"/>
                <w:color w:val="17365D"/>
                <w:sz w:val="18"/>
                <w:szCs w:val="18"/>
              </w:rPr>
              <w:t>355</w:t>
            </w:r>
          </w:p>
        </w:tc>
      </w:tr>
      <w:tr w:rsidR="00A72998" w:rsidRPr="00C15471" w:rsidTr="00A72998">
        <w:trPr>
          <w:trHeight w:hRule="exact" w:val="301"/>
          <w:jc w:val="center"/>
        </w:trPr>
        <w:tc>
          <w:tcPr>
            <w:tcW w:w="614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15471" w:rsidRPr="00C15471" w:rsidRDefault="00C15471" w:rsidP="00C15471">
            <w:pPr>
              <w:spacing w:line="240" w:lineRule="auto"/>
              <w:jc w:val="center"/>
              <w:rPr>
                <w:rFonts w:eastAsia="Times New Roman" w:cs="Arial"/>
                <w:color w:val="17365D"/>
                <w:sz w:val="18"/>
                <w:szCs w:val="18"/>
              </w:rPr>
            </w:pPr>
            <w:r w:rsidRPr="00C15471">
              <w:rPr>
                <w:rFonts w:eastAsia="Times New Roman" w:cs="Arial"/>
                <w:color w:val="17365D"/>
                <w:sz w:val="18"/>
                <w:szCs w:val="18"/>
              </w:rPr>
              <w:t>4.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15471" w:rsidRPr="00C15471" w:rsidRDefault="00C15471" w:rsidP="00C15471">
            <w:pPr>
              <w:spacing w:line="240" w:lineRule="auto"/>
              <w:jc w:val="center"/>
              <w:rPr>
                <w:rFonts w:eastAsia="Times New Roman" w:cs="Arial"/>
                <w:color w:val="17365D"/>
                <w:sz w:val="18"/>
                <w:szCs w:val="18"/>
              </w:rPr>
            </w:pPr>
            <w:r w:rsidRPr="00C15471">
              <w:rPr>
                <w:rFonts w:eastAsia="Times New Roman" w:cs="Arial"/>
                <w:color w:val="17365D"/>
                <w:sz w:val="18"/>
                <w:szCs w:val="18"/>
              </w:rPr>
              <w:t>98327101901</w:t>
            </w:r>
          </w:p>
        </w:tc>
        <w:tc>
          <w:tcPr>
            <w:tcW w:w="347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15471" w:rsidRPr="00C15471" w:rsidRDefault="00C15471" w:rsidP="00C15471">
            <w:pPr>
              <w:spacing w:line="240" w:lineRule="auto"/>
              <w:jc w:val="left"/>
              <w:rPr>
                <w:rFonts w:eastAsia="Times New Roman" w:cs="Arial"/>
                <w:color w:val="17365D"/>
                <w:sz w:val="18"/>
                <w:szCs w:val="18"/>
              </w:rPr>
            </w:pPr>
            <w:r w:rsidRPr="00C15471">
              <w:rPr>
                <w:rFonts w:eastAsia="Times New Roman" w:cs="Arial"/>
                <w:color w:val="17365D"/>
                <w:sz w:val="18"/>
                <w:szCs w:val="18"/>
              </w:rPr>
              <w:t>B100 d.o.o.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15471" w:rsidRPr="00C15471" w:rsidRDefault="00C15471" w:rsidP="00C15471">
            <w:pPr>
              <w:spacing w:line="240" w:lineRule="auto"/>
              <w:jc w:val="center"/>
              <w:rPr>
                <w:rFonts w:eastAsia="Times New Roman" w:cs="Arial"/>
                <w:color w:val="17365D"/>
                <w:sz w:val="18"/>
                <w:szCs w:val="18"/>
              </w:rPr>
            </w:pPr>
            <w:r w:rsidRPr="00C15471">
              <w:rPr>
                <w:rFonts w:eastAsia="Times New Roman" w:cs="Arial"/>
                <w:color w:val="17365D"/>
                <w:sz w:val="18"/>
                <w:szCs w:val="18"/>
              </w:rPr>
              <w:t>Dugo Selo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15471" w:rsidRPr="00C15471" w:rsidRDefault="00C15471" w:rsidP="00C15471">
            <w:pPr>
              <w:spacing w:line="240" w:lineRule="auto"/>
              <w:jc w:val="right"/>
              <w:rPr>
                <w:rFonts w:eastAsia="Times New Roman" w:cs="Arial"/>
                <w:color w:val="17365D"/>
                <w:sz w:val="18"/>
                <w:szCs w:val="18"/>
              </w:rPr>
            </w:pPr>
            <w:r w:rsidRPr="00C15471">
              <w:rPr>
                <w:rFonts w:eastAsia="Times New Roman" w:cs="Arial"/>
                <w:color w:val="17365D"/>
                <w:sz w:val="18"/>
                <w:szCs w:val="18"/>
              </w:rPr>
              <w:t>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15471" w:rsidRPr="00C15471" w:rsidRDefault="00C15471" w:rsidP="00C15471">
            <w:pPr>
              <w:spacing w:line="240" w:lineRule="auto"/>
              <w:jc w:val="right"/>
              <w:rPr>
                <w:rFonts w:eastAsia="Times New Roman" w:cs="Arial"/>
                <w:color w:val="17365D"/>
                <w:sz w:val="18"/>
                <w:szCs w:val="18"/>
              </w:rPr>
            </w:pPr>
            <w:r w:rsidRPr="00C15471">
              <w:rPr>
                <w:rFonts w:eastAsia="Times New Roman" w:cs="Arial"/>
                <w:color w:val="17365D"/>
                <w:sz w:val="18"/>
                <w:szCs w:val="18"/>
              </w:rPr>
              <w:t>1.834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15471" w:rsidRPr="00C15471" w:rsidRDefault="00C15471" w:rsidP="00C15471">
            <w:pPr>
              <w:spacing w:line="240" w:lineRule="auto"/>
              <w:jc w:val="right"/>
              <w:rPr>
                <w:rFonts w:eastAsia="Times New Roman" w:cs="Arial"/>
                <w:color w:val="17365D"/>
                <w:sz w:val="18"/>
                <w:szCs w:val="18"/>
              </w:rPr>
            </w:pPr>
            <w:r w:rsidRPr="00C15471">
              <w:rPr>
                <w:rFonts w:eastAsia="Times New Roman" w:cs="Arial"/>
                <w:color w:val="17365D"/>
                <w:sz w:val="18"/>
                <w:szCs w:val="18"/>
              </w:rPr>
              <w:t>100</w:t>
            </w:r>
          </w:p>
        </w:tc>
      </w:tr>
      <w:tr w:rsidR="00A72998" w:rsidRPr="00C15471" w:rsidTr="00A72998">
        <w:trPr>
          <w:trHeight w:hRule="exact" w:val="301"/>
          <w:jc w:val="center"/>
        </w:trPr>
        <w:tc>
          <w:tcPr>
            <w:tcW w:w="614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15471" w:rsidRPr="00C15471" w:rsidRDefault="00C15471" w:rsidP="00C15471">
            <w:pPr>
              <w:spacing w:line="240" w:lineRule="auto"/>
              <w:jc w:val="center"/>
              <w:rPr>
                <w:rFonts w:eastAsia="Times New Roman" w:cs="Arial"/>
                <w:color w:val="17365D"/>
                <w:sz w:val="18"/>
                <w:szCs w:val="18"/>
              </w:rPr>
            </w:pPr>
            <w:r w:rsidRPr="00C15471">
              <w:rPr>
                <w:rFonts w:eastAsia="Times New Roman" w:cs="Arial"/>
                <w:color w:val="17365D"/>
                <w:sz w:val="18"/>
                <w:szCs w:val="18"/>
              </w:rPr>
              <w:t>5.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C15471" w:rsidRPr="00C15471" w:rsidRDefault="00C15471" w:rsidP="00C15471">
            <w:pPr>
              <w:spacing w:line="240" w:lineRule="auto"/>
              <w:jc w:val="center"/>
              <w:rPr>
                <w:rFonts w:eastAsia="Times New Roman" w:cs="Arial"/>
                <w:color w:val="17365D"/>
                <w:sz w:val="18"/>
                <w:szCs w:val="18"/>
              </w:rPr>
            </w:pPr>
            <w:r w:rsidRPr="00C15471">
              <w:rPr>
                <w:rFonts w:eastAsia="Times New Roman" w:cs="Arial"/>
                <w:color w:val="17365D"/>
                <w:sz w:val="18"/>
                <w:szCs w:val="18"/>
              </w:rPr>
              <w:t>35738990355</w:t>
            </w:r>
          </w:p>
        </w:tc>
        <w:tc>
          <w:tcPr>
            <w:tcW w:w="3479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15471" w:rsidRPr="00C15471" w:rsidRDefault="00C15471" w:rsidP="00C15471">
            <w:pPr>
              <w:spacing w:line="240" w:lineRule="auto"/>
              <w:jc w:val="left"/>
              <w:rPr>
                <w:rFonts w:eastAsia="Times New Roman" w:cs="Arial"/>
                <w:color w:val="17365D"/>
                <w:sz w:val="18"/>
                <w:szCs w:val="18"/>
              </w:rPr>
            </w:pPr>
            <w:r w:rsidRPr="00C15471">
              <w:rPr>
                <w:rFonts w:eastAsia="Times New Roman" w:cs="Arial"/>
                <w:color w:val="17365D"/>
                <w:sz w:val="18"/>
                <w:szCs w:val="18"/>
              </w:rPr>
              <w:t>KVORUM d.o.o.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15471" w:rsidRPr="00C15471" w:rsidRDefault="00C15471" w:rsidP="00C15471">
            <w:pPr>
              <w:spacing w:line="240" w:lineRule="auto"/>
              <w:jc w:val="center"/>
              <w:rPr>
                <w:rFonts w:eastAsia="Times New Roman" w:cs="Arial"/>
                <w:color w:val="17365D"/>
                <w:sz w:val="18"/>
                <w:szCs w:val="18"/>
              </w:rPr>
            </w:pPr>
            <w:r w:rsidRPr="00C15471">
              <w:rPr>
                <w:rFonts w:eastAsia="Times New Roman" w:cs="Arial"/>
                <w:color w:val="17365D"/>
                <w:sz w:val="18"/>
                <w:szCs w:val="18"/>
              </w:rPr>
              <w:t>Novalja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15471" w:rsidRPr="00C15471" w:rsidRDefault="00C15471" w:rsidP="00C15471">
            <w:pPr>
              <w:spacing w:line="240" w:lineRule="auto"/>
              <w:jc w:val="right"/>
              <w:rPr>
                <w:rFonts w:eastAsia="Times New Roman" w:cs="Arial"/>
                <w:color w:val="17365D"/>
                <w:sz w:val="18"/>
                <w:szCs w:val="18"/>
              </w:rPr>
            </w:pPr>
            <w:r w:rsidRPr="00C15471">
              <w:rPr>
                <w:rFonts w:eastAsia="Times New Roman" w:cs="Arial"/>
                <w:color w:val="17365D"/>
                <w:sz w:val="18"/>
                <w:szCs w:val="18"/>
              </w:rPr>
              <w:t>9</w:t>
            </w:r>
          </w:p>
        </w:tc>
        <w:tc>
          <w:tcPr>
            <w:tcW w:w="1054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15471" w:rsidRPr="00C15471" w:rsidRDefault="00C15471" w:rsidP="00C15471">
            <w:pPr>
              <w:spacing w:line="240" w:lineRule="auto"/>
              <w:jc w:val="right"/>
              <w:rPr>
                <w:rFonts w:eastAsia="Times New Roman" w:cs="Arial"/>
                <w:color w:val="17365D"/>
                <w:sz w:val="18"/>
                <w:szCs w:val="18"/>
              </w:rPr>
            </w:pPr>
            <w:r w:rsidRPr="00C15471">
              <w:rPr>
                <w:rFonts w:eastAsia="Times New Roman" w:cs="Arial"/>
                <w:color w:val="17365D"/>
                <w:sz w:val="18"/>
                <w:szCs w:val="18"/>
              </w:rPr>
              <w:t>1.730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vAlign w:val="center"/>
            <w:hideMark/>
          </w:tcPr>
          <w:p w:rsidR="00C15471" w:rsidRPr="00C15471" w:rsidRDefault="00C15471" w:rsidP="00C15471">
            <w:pPr>
              <w:spacing w:line="240" w:lineRule="auto"/>
              <w:jc w:val="right"/>
              <w:rPr>
                <w:rFonts w:eastAsia="Times New Roman" w:cs="Arial"/>
                <w:color w:val="17365D"/>
                <w:sz w:val="18"/>
                <w:szCs w:val="18"/>
              </w:rPr>
            </w:pPr>
            <w:r w:rsidRPr="00C15471">
              <w:rPr>
                <w:rFonts w:eastAsia="Times New Roman" w:cs="Arial"/>
                <w:color w:val="17365D"/>
                <w:sz w:val="18"/>
                <w:szCs w:val="18"/>
              </w:rPr>
              <w:t>109</w:t>
            </w:r>
          </w:p>
        </w:tc>
      </w:tr>
      <w:tr w:rsidR="00C15471" w:rsidRPr="00C15471" w:rsidTr="002B7ED9">
        <w:trPr>
          <w:trHeight w:hRule="exact" w:val="301"/>
          <w:jc w:val="center"/>
        </w:trPr>
        <w:tc>
          <w:tcPr>
            <w:tcW w:w="6493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  <w:hideMark/>
          </w:tcPr>
          <w:p w:rsidR="00C15471" w:rsidRPr="00C15471" w:rsidRDefault="00C15471" w:rsidP="00C15471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16365C"/>
                <w:sz w:val="18"/>
                <w:szCs w:val="18"/>
              </w:rPr>
            </w:pPr>
            <w:r w:rsidRPr="00C15471">
              <w:rPr>
                <w:rFonts w:eastAsia="Times New Roman" w:cs="Arial"/>
                <w:b/>
                <w:bCs/>
                <w:color w:val="16365C"/>
                <w:sz w:val="18"/>
                <w:szCs w:val="18"/>
              </w:rPr>
              <w:t>Ukupno top pet</w:t>
            </w:r>
          </w:p>
        </w:tc>
        <w:tc>
          <w:tcPr>
            <w:tcW w:w="1222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  <w:hideMark/>
          </w:tcPr>
          <w:p w:rsidR="00C15471" w:rsidRPr="00C15471" w:rsidRDefault="00C15471" w:rsidP="00C15471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16365C"/>
                <w:sz w:val="18"/>
                <w:szCs w:val="18"/>
              </w:rPr>
            </w:pPr>
            <w:r w:rsidRPr="00C15471">
              <w:rPr>
                <w:rFonts w:eastAsia="Times New Roman" w:cs="Arial"/>
                <w:b/>
                <w:bCs/>
                <w:color w:val="16365C"/>
                <w:sz w:val="18"/>
                <w:szCs w:val="18"/>
              </w:rPr>
              <w:t>94</w:t>
            </w:r>
          </w:p>
        </w:tc>
        <w:tc>
          <w:tcPr>
            <w:tcW w:w="1054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  <w:hideMark/>
          </w:tcPr>
          <w:p w:rsidR="00C15471" w:rsidRPr="00C15471" w:rsidRDefault="00C15471" w:rsidP="00C15471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16365C"/>
                <w:sz w:val="18"/>
                <w:szCs w:val="18"/>
              </w:rPr>
            </w:pPr>
            <w:r w:rsidRPr="00C15471">
              <w:rPr>
                <w:rFonts w:eastAsia="Times New Roman" w:cs="Arial"/>
                <w:b/>
                <w:bCs/>
                <w:color w:val="16365C"/>
                <w:sz w:val="18"/>
                <w:szCs w:val="18"/>
              </w:rPr>
              <w:t>41.362</w:t>
            </w:r>
          </w:p>
        </w:tc>
        <w:tc>
          <w:tcPr>
            <w:tcW w:w="1125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vAlign w:val="center"/>
            <w:hideMark/>
          </w:tcPr>
          <w:p w:rsidR="00C15471" w:rsidRPr="00C15471" w:rsidRDefault="00C15471" w:rsidP="00C15471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16365C"/>
                <w:sz w:val="18"/>
                <w:szCs w:val="18"/>
              </w:rPr>
            </w:pPr>
            <w:r w:rsidRPr="00C15471">
              <w:rPr>
                <w:rFonts w:eastAsia="Times New Roman" w:cs="Arial"/>
                <w:b/>
                <w:bCs/>
                <w:color w:val="16365C"/>
                <w:sz w:val="18"/>
                <w:szCs w:val="18"/>
              </w:rPr>
              <w:t>1.047</w:t>
            </w:r>
          </w:p>
        </w:tc>
      </w:tr>
      <w:tr w:rsidR="00C15471" w:rsidRPr="00C15471" w:rsidTr="002B7ED9">
        <w:trPr>
          <w:trHeight w:hRule="exact" w:val="301"/>
          <w:jc w:val="center"/>
        </w:trPr>
        <w:tc>
          <w:tcPr>
            <w:tcW w:w="6493" w:type="dxa"/>
            <w:gridSpan w:val="4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BFBFBF"/>
            <w:vAlign w:val="center"/>
            <w:hideMark/>
          </w:tcPr>
          <w:p w:rsidR="00C15471" w:rsidRPr="00C15471" w:rsidRDefault="00C15471" w:rsidP="00C15471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16365C"/>
                <w:sz w:val="18"/>
                <w:szCs w:val="18"/>
              </w:rPr>
            </w:pPr>
            <w:r w:rsidRPr="00C15471">
              <w:rPr>
                <w:rFonts w:eastAsia="Times New Roman" w:cs="Arial"/>
                <w:b/>
                <w:bCs/>
                <w:color w:val="16365C"/>
                <w:sz w:val="18"/>
                <w:szCs w:val="18"/>
              </w:rPr>
              <w:t>Ukupno svi poduzetnici NKD 47.65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FBFBF"/>
            <w:vAlign w:val="center"/>
            <w:hideMark/>
          </w:tcPr>
          <w:p w:rsidR="00C15471" w:rsidRPr="00C15471" w:rsidRDefault="00C15471" w:rsidP="00C15471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16365C"/>
                <w:sz w:val="18"/>
                <w:szCs w:val="18"/>
              </w:rPr>
            </w:pPr>
            <w:r w:rsidRPr="00C15471">
              <w:rPr>
                <w:rFonts w:eastAsia="Times New Roman" w:cs="Arial"/>
                <w:b/>
                <w:bCs/>
                <w:color w:val="16365C"/>
                <w:sz w:val="18"/>
                <w:szCs w:val="18"/>
              </w:rPr>
              <w:t>109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FBFBF"/>
            <w:vAlign w:val="center"/>
            <w:hideMark/>
          </w:tcPr>
          <w:p w:rsidR="00C15471" w:rsidRPr="00C15471" w:rsidRDefault="00C15471" w:rsidP="00C15471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16365C"/>
                <w:sz w:val="18"/>
                <w:szCs w:val="18"/>
              </w:rPr>
            </w:pPr>
            <w:r w:rsidRPr="00C15471">
              <w:rPr>
                <w:rFonts w:eastAsia="Times New Roman" w:cs="Arial"/>
                <w:b/>
                <w:bCs/>
                <w:color w:val="16365C"/>
                <w:sz w:val="18"/>
                <w:szCs w:val="18"/>
              </w:rPr>
              <w:t>44.596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BFBFBF"/>
            <w:vAlign w:val="center"/>
            <w:hideMark/>
          </w:tcPr>
          <w:p w:rsidR="00C15471" w:rsidRPr="00C15471" w:rsidRDefault="00C15471" w:rsidP="00C15471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16365C"/>
                <w:sz w:val="18"/>
                <w:szCs w:val="18"/>
              </w:rPr>
            </w:pPr>
            <w:r w:rsidRPr="00C15471">
              <w:rPr>
                <w:rFonts w:eastAsia="Times New Roman" w:cs="Arial"/>
                <w:b/>
                <w:bCs/>
                <w:color w:val="16365C"/>
                <w:sz w:val="18"/>
                <w:szCs w:val="18"/>
              </w:rPr>
              <w:t>1.227</w:t>
            </w:r>
          </w:p>
        </w:tc>
      </w:tr>
      <w:tr w:rsidR="00C15471" w:rsidRPr="00C15471" w:rsidTr="002B7ED9">
        <w:trPr>
          <w:trHeight w:hRule="exact" w:val="301"/>
          <w:jc w:val="center"/>
        </w:trPr>
        <w:tc>
          <w:tcPr>
            <w:tcW w:w="6493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A6A6A6"/>
            <w:vAlign w:val="center"/>
            <w:hideMark/>
          </w:tcPr>
          <w:p w:rsidR="00C15471" w:rsidRPr="00C15471" w:rsidRDefault="00C15471" w:rsidP="00C15471">
            <w:pPr>
              <w:spacing w:line="240" w:lineRule="auto"/>
              <w:jc w:val="left"/>
              <w:rPr>
                <w:rFonts w:eastAsia="Times New Roman" w:cs="Arial"/>
                <w:b/>
                <w:bCs/>
                <w:color w:val="16365C"/>
                <w:sz w:val="18"/>
                <w:szCs w:val="18"/>
              </w:rPr>
            </w:pPr>
            <w:r w:rsidRPr="00C15471">
              <w:rPr>
                <w:rFonts w:eastAsia="Times New Roman" w:cs="Arial"/>
                <w:b/>
                <w:bCs/>
                <w:color w:val="16365C"/>
                <w:sz w:val="18"/>
                <w:szCs w:val="18"/>
              </w:rPr>
              <w:t>Udio top pet poduzetnika u razredu djelatnosti NKD 47.65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6A6A6"/>
            <w:vAlign w:val="center"/>
            <w:hideMark/>
          </w:tcPr>
          <w:p w:rsidR="00C15471" w:rsidRPr="00C15471" w:rsidRDefault="00C15471" w:rsidP="00C15471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16365C"/>
                <w:sz w:val="18"/>
                <w:szCs w:val="18"/>
              </w:rPr>
            </w:pPr>
            <w:r w:rsidRPr="00C15471">
              <w:rPr>
                <w:rFonts w:eastAsia="Times New Roman" w:cs="Arial"/>
                <w:b/>
                <w:bCs/>
                <w:color w:val="16365C"/>
                <w:sz w:val="18"/>
                <w:szCs w:val="18"/>
              </w:rPr>
              <w:t>86,2%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6A6A6"/>
            <w:vAlign w:val="center"/>
            <w:hideMark/>
          </w:tcPr>
          <w:p w:rsidR="00C15471" w:rsidRPr="00C15471" w:rsidRDefault="00C15471" w:rsidP="00C15471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16365C"/>
                <w:sz w:val="18"/>
                <w:szCs w:val="18"/>
              </w:rPr>
            </w:pPr>
            <w:r w:rsidRPr="00C15471">
              <w:rPr>
                <w:rFonts w:eastAsia="Times New Roman" w:cs="Arial"/>
                <w:b/>
                <w:bCs/>
                <w:color w:val="16365C"/>
                <w:sz w:val="18"/>
                <w:szCs w:val="18"/>
              </w:rPr>
              <w:t>92,7%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A6A6A6"/>
            <w:vAlign w:val="center"/>
            <w:hideMark/>
          </w:tcPr>
          <w:p w:rsidR="00C15471" w:rsidRPr="00C15471" w:rsidRDefault="00C15471" w:rsidP="00C15471">
            <w:pPr>
              <w:spacing w:line="240" w:lineRule="auto"/>
              <w:jc w:val="right"/>
              <w:rPr>
                <w:rFonts w:eastAsia="Times New Roman" w:cs="Arial"/>
                <w:b/>
                <w:bCs/>
                <w:color w:val="16365C"/>
                <w:sz w:val="18"/>
                <w:szCs w:val="18"/>
              </w:rPr>
            </w:pPr>
            <w:r w:rsidRPr="00C15471">
              <w:rPr>
                <w:rFonts w:eastAsia="Times New Roman" w:cs="Arial"/>
                <w:b/>
                <w:bCs/>
                <w:color w:val="16365C"/>
                <w:sz w:val="18"/>
                <w:szCs w:val="18"/>
              </w:rPr>
              <w:t>85,3%</w:t>
            </w:r>
          </w:p>
        </w:tc>
      </w:tr>
    </w:tbl>
    <w:p w:rsidR="00E1566D" w:rsidRPr="00970E52" w:rsidRDefault="00E1566D" w:rsidP="00DB2231">
      <w:pPr>
        <w:spacing w:before="40" w:line="269" w:lineRule="auto"/>
        <w:rPr>
          <w:rFonts w:cs="Arial"/>
          <w:i/>
          <w:color w:val="17365D" w:themeColor="text2" w:themeShade="BF"/>
          <w:sz w:val="16"/>
          <w:szCs w:val="16"/>
          <w:lang w:eastAsia="hr-HR"/>
        </w:rPr>
      </w:pPr>
      <w:r w:rsidRPr="00970E52">
        <w:rPr>
          <w:rFonts w:cs="Arial"/>
          <w:i/>
          <w:color w:val="17365D" w:themeColor="text2" w:themeShade="BF"/>
          <w:sz w:val="16"/>
          <w:szCs w:val="16"/>
          <w:lang w:eastAsia="hr-HR"/>
        </w:rPr>
        <w:t>Izvor: Fina – Registar godišnjih financijskih izvještaja</w:t>
      </w:r>
    </w:p>
    <w:p w:rsidR="00ED63FD" w:rsidRPr="00D53A5E" w:rsidRDefault="000A3970" w:rsidP="00467C9C">
      <w:pPr>
        <w:spacing w:before="180" w:line="274" w:lineRule="auto"/>
        <w:rPr>
          <w:rFonts w:cs="Arial"/>
          <w:color w:val="17365D" w:themeColor="text2" w:themeShade="BF"/>
          <w:szCs w:val="20"/>
        </w:rPr>
      </w:pPr>
      <w:r w:rsidRPr="00FB596D">
        <w:rPr>
          <w:rFonts w:cs="Arial"/>
          <w:color w:val="17365D" w:themeColor="text2" w:themeShade="BF"/>
          <w:szCs w:val="20"/>
        </w:rPr>
        <w:t xml:space="preserve">Među </w:t>
      </w:r>
      <w:r w:rsidR="007617FB" w:rsidRPr="00FB596D">
        <w:rPr>
          <w:rFonts w:cs="Arial"/>
          <w:color w:val="17365D" w:themeColor="text2" w:themeShade="BF"/>
          <w:szCs w:val="20"/>
        </w:rPr>
        <w:t>25</w:t>
      </w:r>
      <w:r w:rsidRPr="00FB596D">
        <w:rPr>
          <w:rFonts w:cs="Arial"/>
          <w:color w:val="17365D" w:themeColor="text2" w:themeShade="BF"/>
          <w:szCs w:val="20"/>
        </w:rPr>
        <w:t xml:space="preserve"> poduzetnika u djelatnosti trgovine na malo igrama i igračkama u specijaliziranim prodavaonicama u 20</w:t>
      </w:r>
      <w:r w:rsidR="007617FB" w:rsidRPr="00FB596D">
        <w:rPr>
          <w:rFonts w:cs="Arial"/>
          <w:color w:val="17365D" w:themeColor="text2" w:themeShade="BF"/>
          <w:szCs w:val="20"/>
        </w:rPr>
        <w:t>20</w:t>
      </w:r>
      <w:r w:rsidRPr="00FB596D">
        <w:rPr>
          <w:rFonts w:cs="Arial"/>
          <w:color w:val="17365D" w:themeColor="text2" w:themeShade="BF"/>
          <w:szCs w:val="20"/>
        </w:rPr>
        <w:t>. godini, najveć</w:t>
      </w:r>
      <w:r w:rsidR="007D00E2" w:rsidRPr="00FB596D">
        <w:rPr>
          <w:rFonts w:cs="Arial"/>
          <w:color w:val="17365D" w:themeColor="text2" w:themeShade="BF"/>
          <w:szCs w:val="20"/>
        </w:rPr>
        <w:t>e</w:t>
      </w:r>
      <w:r w:rsidRPr="00FB596D">
        <w:rPr>
          <w:rFonts w:cs="Arial"/>
          <w:color w:val="17365D" w:themeColor="text2" w:themeShade="BF"/>
          <w:szCs w:val="20"/>
        </w:rPr>
        <w:t xml:space="preserve"> prihod</w:t>
      </w:r>
      <w:r w:rsidR="007D00E2" w:rsidRPr="00FB596D">
        <w:rPr>
          <w:rFonts w:cs="Arial"/>
          <w:color w:val="17365D" w:themeColor="text2" w:themeShade="BF"/>
          <w:szCs w:val="20"/>
        </w:rPr>
        <w:t>e</w:t>
      </w:r>
      <w:r w:rsidRPr="00FB596D">
        <w:rPr>
          <w:rFonts w:cs="Arial"/>
          <w:color w:val="17365D" w:themeColor="text2" w:themeShade="BF"/>
          <w:szCs w:val="20"/>
        </w:rPr>
        <w:t xml:space="preserve"> (</w:t>
      </w:r>
      <w:r w:rsidR="007D00E2" w:rsidRPr="00FB596D">
        <w:rPr>
          <w:rFonts w:cs="Arial"/>
          <w:color w:val="17365D" w:themeColor="text2" w:themeShade="BF"/>
          <w:szCs w:val="20"/>
        </w:rPr>
        <w:t>19,2</w:t>
      </w:r>
      <w:r w:rsidRPr="00FB596D">
        <w:rPr>
          <w:rFonts w:cs="Arial"/>
          <w:color w:val="17365D" w:themeColor="text2" w:themeShade="BF"/>
          <w:szCs w:val="20"/>
        </w:rPr>
        <w:t xml:space="preserve"> milijuna kuna) </w:t>
      </w:r>
      <w:r w:rsidR="007D00E2" w:rsidRPr="00FB596D">
        <w:rPr>
          <w:rFonts w:cs="Arial"/>
          <w:color w:val="17365D" w:themeColor="text2" w:themeShade="BF"/>
          <w:szCs w:val="20"/>
        </w:rPr>
        <w:t>ostvarili su ARANEA TOYS d.o.o., što je 43,1</w:t>
      </w:r>
      <w:r w:rsidRPr="00FB596D">
        <w:rPr>
          <w:rFonts w:cs="Arial"/>
          <w:color w:val="17365D" w:themeColor="text2" w:themeShade="BF"/>
          <w:szCs w:val="20"/>
        </w:rPr>
        <w:t xml:space="preserve">% ukupnih prihoda promatrane djelatnosti. </w:t>
      </w:r>
      <w:r w:rsidR="007D00E2" w:rsidRPr="00FB596D">
        <w:rPr>
          <w:rFonts w:cs="Arial"/>
          <w:color w:val="17365D" w:themeColor="text2" w:themeShade="BF"/>
          <w:szCs w:val="20"/>
        </w:rPr>
        <w:t xml:space="preserve">EUROM DENIS MALOPRODAJA d.o.o., mali poduzetnik iz Zagreba, </w:t>
      </w:r>
      <w:r w:rsidRPr="00FB596D">
        <w:rPr>
          <w:rFonts w:cs="Arial"/>
          <w:color w:val="17365D" w:themeColor="text2" w:themeShade="BF"/>
          <w:szCs w:val="20"/>
        </w:rPr>
        <w:t>zapošljava</w:t>
      </w:r>
      <w:r w:rsidR="007D00E2" w:rsidRPr="00FB596D">
        <w:rPr>
          <w:rFonts w:cs="Arial"/>
          <w:color w:val="17365D" w:themeColor="text2" w:themeShade="BF"/>
          <w:szCs w:val="20"/>
        </w:rPr>
        <w:t xml:space="preserve">o je </w:t>
      </w:r>
      <w:r w:rsidRPr="00FB596D">
        <w:rPr>
          <w:rFonts w:cs="Arial"/>
          <w:color w:val="17365D" w:themeColor="text2" w:themeShade="BF"/>
          <w:szCs w:val="20"/>
        </w:rPr>
        <w:t xml:space="preserve">najveći broj radnika, njih ukupno </w:t>
      </w:r>
      <w:r w:rsidR="007D00E2" w:rsidRPr="00FB596D">
        <w:rPr>
          <w:rFonts w:cs="Arial"/>
          <w:color w:val="17365D" w:themeColor="text2" w:themeShade="BF"/>
          <w:szCs w:val="20"/>
        </w:rPr>
        <w:t>49</w:t>
      </w:r>
      <w:r w:rsidRPr="00FB596D">
        <w:rPr>
          <w:rFonts w:cs="Arial"/>
          <w:color w:val="17365D" w:themeColor="text2" w:themeShade="BF"/>
          <w:szCs w:val="20"/>
        </w:rPr>
        <w:t>, kojima je obračuna</w:t>
      </w:r>
      <w:r w:rsidR="00E16D16">
        <w:rPr>
          <w:rFonts w:cs="Arial"/>
          <w:color w:val="17365D" w:themeColor="text2" w:themeShade="BF"/>
          <w:szCs w:val="20"/>
        </w:rPr>
        <w:t>n</w:t>
      </w:r>
      <w:r w:rsidRPr="00FB596D">
        <w:rPr>
          <w:rFonts w:cs="Arial"/>
          <w:color w:val="17365D" w:themeColor="text2" w:themeShade="BF"/>
          <w:szCs w:val="20"/>
        </w:rPr>
        <w:t xml:space="preserve">a prosječna mjesečna neto plaća u iznosu od </w:t>
      </w:r>
      <w:r w:rsidR="007D00E2" w:rsidRPr="00FB596D">
        <w:rPr>
          <w:rFonts w:cs="Arial"/>
          <w:color w:val="17365D" w:themeColor="text2" w:themeShade="BF"/>
          <w:szCs w:val="20"/>
        </w:rPr>
        <w:t>3.131</w:t>
      </w:r>
      <w:r w:rsidRPr="00FB596D">
        <w:rPr>
          <w:rFonts w:cs="Arial"/>
          <w:color w:val="17365D" w:themeColor="text2" w:themeShade="BF"/>
          <w:szCs w:val="20"/>
        </w:rPr>
        <w:t xml:space="preserve"> kun</w:t>
      </w:r>
      <w:r w:rsidR="007D00E2" w:rsidRPr="00FB596D">
        <w:rPr>
          <w:rFonts w:cs="Arial"/>
          <w:color w:val="17365D" w:themeColor="text2" w:themeShade="BF"/>
          <w:szCs w:val="20"/>
        </w:rPr>
        <w:t xml:space="preserve">u te je ujedno i </w:t>
      </w:r>
      <w:r w:rsidRPr="00FB596D">
        <w:rPr>
          <w:rFonts w:cs="Arial"/>
          <w:color w:val="17365D" w:themeColor="text2" w:themeShade="BF"/>
          <w:szCs w:val="20"/>
        </w:rPr>
        <w:t>drugi</w:t>
      </w:r>
      <w:r w:rsidR="007D00E2" w:rsidRPr="00FB596D">
        <w:rPr>
          <w:rFonts w:cs="Arial"/>
          <w:color w:val="17365D" w:themeColor="text2" w:themeShade="BF"/>
          <w:szCs w:val="20"/>
        </w:rPr>
        <w:t xml:space="preserve"> </w:t>
      </w:r>
      <w:r w:rsidRPr="00FB596D">
        <w:rPr>
          <w:rFonts w:cs="Arial"/>
          <w:color w:val="17365D" w:themeColor="text2" w:themeShade="BF"/>
          <w:szCs w:val="20"/>
        </w:rPr>
        <w:t>po os</w:t>
      </w:r>
      <w:r w:rsidR="007D00E2" w:rsidRPr="00FB596D">
        <w:rPr>
          <w:rFonts w:cs="Arial"/>
          <w:color w:val="17365D" w:themeColor="text2" w:themeShade="BF"/>
          <w:szCs w:val="20"/>
        </w:rPr>
        <w:t>tvarenim ukupnim prihodima u 2020</w:t>
      </w:r>
      <w:r w:rsidRPr="00FB596D">
        <w:rPr>
          <w:rFonts w:cs="Arial"/>
          <w:color w:val="17365D" w:themeColor="text2" w:themeShade="BF"/>
          <w:szCs w:val="20"/>
        </w:rPr>
        <w:t>.</w:t>
      </w:r>
      <w:r w:rsidR="007D00E2" w:rsidRPr="00FB596D">
        <w:rPr>
          <w:rFonts w:cs="Arial"/>
          <w:color w:val="17365D" w:themeColor="text2" w:themeShade="BF"/>
          <w:szCs w:val="20"/>
        </w:rPr>
        <w:t xml:space="preserve"> godini (15,8</w:t>
      </w:r>
      <w:r w:rsidRPr="00FB596D">
        <w:rPr>
          <w:rFonts w:cs="Arial"/>
          <w:color w:val="17365D" w:themeColor="text2" w:themeShade="BF"/>
          <w:szCs w:val="20"/>
        </w:rPr>
        <w:t xml:space="preserve"> milijuna kuna</w:t>
      </w:r>
      <w:r w:rsidR="007D00E2" w:rsidRPr="00FB596D">
        <w:rPr>
          <w:rFonts w:cs="Arial"/>
          <w:color w:val="17365D" w:themeColor="text2" w:themeShade="BF"/>
          <w:szCs w:val="20"/>
        </w:rPr>
        <w:t>)</w:t>
      </w:r>
      <w:r w:rsidRPr="00FB596D">
        <w:rPr>
          <w:rFonts w:cs="Arial"/>
          <w:color w:val="17365D" w:themeColor="text2" w:themeShade="BF"/>
          <w:szCs w:val="20"/>
        </w:rPr>
        <w:t>. Udio pet poduzetnika s najvećim prihod</w:t>
      </w:r>
      <w:r w:rsidR="007D00E2" w:rsidRPr="00FB596D">
        <w:rPr>
          <w:rFonts w:cs="Arial"/>
          <w:color w:val="17365D" w:themeColor="text2" w:themeShade="BF"/>
          <w:szCs w:val="20"/>
        </w:rPr>
        <w:t>ima</w:t>
      </w:r>
      <w:r w:rsidRPr="00FB596D">
        <w:rPr>
          <w:rFonts w:cs="Arial"/>
          <w:color w:val="17365D" w:themeColor="text2" w:themeShade="BF"/>
          <w:szCs w:val="20"/>
        </w:rPr>
        <w:t xml:space="preserve"> u 20</w:t>
      </w:r>
      <w:r w:rsidR="007D00E2" w:rsidRPr="00FB596D">
        <w:rPr>
          <w:rFonts w:cs="Arial"/>
          <w:color w:val="17365D" w:themeColor="text2" w:themeShade="BF"/>
          <w:szCs w:val="20"/>
        </w:rPr>
        <w:t>20. godini u ukupnim prihodima 25</w:t>
      </w:r>
      <w:r w:rsidRPr="00FB596D">
        <w:rPr>
          <w:rFonts w:cs="Arial"/>
          <w:color w:val="17365D" w:themeColor="text2" w:themeShade="BF"/>
          <w:szCs w:val="20"/>
        </w:rPr>
        <w:t xml:space="preserve"> poduzetnika, u djelatnosti trgovine na malo igrama i igračkama u specijaliziranim prodavaonicama, bio je </w:t>
      </w:r>
      <w:r w:rsidR="007D00E2" w:rsidRPr="00FB596D">
        <w:rPr>
          <w:rFonts w:cs="Arial"/>
          <w:color w:val="17365D" w:themeColor="text2" w:themeShade="BF"/>
          <w:szCs w:val="20"/>
        </w:rPr>
        <w:t>92,7</w:t>
      </w:r>
      <w:r w:rsidRPr="00FB596D">
        <w:rPr>
          <w:rFonts w:cs="Arial"/>
          <w:color w:val="17365D" w:themeColor="text2" w:themeShade="BF"/>
          <w:szCs w:val="20"/>
        </w:rPr>
        <w:t xml:space="preserve">% (tablica </w:t>
      </w:r>
      <w:r w:rsidR="007D00E2" w:rsidRPr="00FB596D">
        <w:rPr>
          <w:rFonts w:cs="Arial"/>
          <w:color w:val="17365D" w:themeColor="text2" w:themeShade="BF"/>
          <w:szCs w:val="20"/>
        </w:rPr>
        <w:t>3</w:t>
      </w:r>
      <w:r w:rsidRPr="00FB596D">
        <w:rPr>
          <w:rFonts w:cs="Arial"/>
          <w:color w:val="17365D" w:themeColor="text2" w:themeShade="BF"/>
          <w:szCs w:val="20"/>
        </w:rPr>
        <w:t>.)</w:t>
      </w:r>
      <w:r w:rsidR="00ED63FD" w:rsidRPr="00FB596D">
        <w:rPr>
          <w:color w:val="17365D" w:themeColor="text2" w:themeShade="BF"/>
          <w:szCs w:val="20"/>
        </w:rPr>
        <w:t>.</w:t>
      </w:r>
    </w:p>
    <w:p w:rsidR="004A2DEF" w:rsidRDefault="00E1566D" w:rsidP="00ED63FD">
      <w:pPr>
        <w:spacing w:before="180" w:after="40" w:line="240" w:lineRule="auto"/>
        <w:ind w:left="1134" w:hanging="1134"/>
        <w:jc w:val="left"/>
        <w:rPr>
          <w:rFonts w:cs="Arial"/>
          <w:b/>
          <w:color w:val="17365D" w:themeColor="text2" w:themeShade="BF"/>
          <w:sz w:val="18"/>
          <w:szCs w:val="18"/>
        </w:rPr>
      </w:pPr>
      <w:r w:rsidRPr="0046590F">
        <w:rPr>
          <w:rFonts w:cs="Arial"/>
          <w:b/>
          <w:color w:val="17365D" w:themeColor="text2" w:themeShade="BF"/>
          <w:sz w:val="18"/>
          <w:szCs w:val="18"/>
        </w:rPr>
        <w:t>Slika 1.</w:t>
      </w:r>
      <w:r w:rsidRPr="0046590F">
        <w:rPr>
          <w:rFonts w:cs="Arial"/>
          <w:b/>
          <w:color w:val="17365D" w:themeColor="text2" w:themeShade="BF"/>
          <w:sz w:val="18"/>
          <w:szCs w:val="18"/>
        </w:rPr>
        <w:tab/>
      </w:r>
      <w:r w:rsidR="00B97995" w:rsidRPr="0046590F">
        <w:rPr>
          <w:rFonts w:eastAsia="Times New Roman" w:cs="Arial"/>
          <w:b/>
          <w:sz w:val="18"/>
          <w:szCs w:val="18"/>
          <w:lang w:eastAsia="hr-HR"/>
          <w14:textFill>
            <w14:solidFill>
              <w14:srgbClr w14:val="1F497D">
                <w14:lumMod w14:val="75000"/>
              </w14:srgbClr>
            </w14:solidFill>
          </w14:textFill>
        </w:rPr>
        <w:t>ARANEA TOYS d.o.o.</w:t>
      </w:r>
      <w:r w:rsidR="00F27BBC" w:rsidRPr="0046590F">
        <w:rPr>
          <w:rFonts w:eastAsia="Times New Roman" w:cs="Arial"/>
          <w:b/>
          <w:color w:val="17365D" w:themeColor="text2" w:themeShade="BF"/>
          <w:sz w:val="18"/>
          <w:szCs w:val="18"/>
          <w:lang w:eastAsia="hr-HR"/>
        </w:rPr>
        <w:t xml:space="preserve"> </w:t>
      </w:r>
      <w:r w:rsidR="00F27BBC" w:rsidRPr="0046590F">
        <w:rPr>
          <w:rFonts w:cs="Arial"/>
          <w:b/>
          <w:color w:val="17365D" w:themeColor="text2" w:themeShade="BF"/>
          <w:sz w:val="18"/>
          <w:szCs w:val="18"/>
        </w:rPr>
        <w:t>prv</w:t>
      </w:r>
      <w:r w:rsidR="00B97995" w:rsidRPr="0046590F">
        <w:rPr>
          <w:rFonts w:cs="Arial"/>
          <w:b/>
          <w:color w:val="17365D" w:themeColor="text2" w:themeShade="BF"/>
          <w:sz w:val="18"/>
          <w:szCs w:val="18"/>
        </w:rPr>
        <w:t>i</w:t>
      </w:r>
      <w:r w:rsidR="00F27BBC" w:rsidRPr="0046590F">
        <w:rPr>
          <w:rFonts w:cs="Arial"/>
          <w:b/>
          <w:color w:val="17365D" w:themeColor="text2" w:themeShade="BF"/>
          <w:sz w:val="18"/>
          <w:szCs w:val="18"/>
        </w:rPr>
        <w:t xml:space="preserve"> </w:t>
      </w:r>
      <w:r w:rsidR="00B97995" w:rsidRPr="0046590F">
        <w:rPr>
          <w:rFonts w:cs="Arial"/>
          <w:b/>
          <w:color w:val="17365D" w:themeColor="text2" w:themeShade="BF"/>
          <w:sz w:val="18"/>
          <w:szCs w:val="18"/>
        </w:rPr>
        <w:t>su</w:t>
      </w:r>
      <w:r w:rsidR="00F27BBC" w:rsidRPr="0046590F">
        <w:rPr>
          <w:rFonts w:cs="Arial"/>
          <w:b/>
          <w:color w:val="17365D" w:themeColor="text2" w:themeShade="BF"/>
          <w:sz w:val="18"/>
          <w:szCs w:val="18"/>
        </w:rPr>
        <w:t xml:space="preserve"> među poduzetnicima u djelatnosti NKD 47.65 prema ukupn</w:t>
      </w:r>
      <w:r w:rsidR="00B97995" w:rsidRPr="0046590F">
        <w:rPr>
          <w:rFonts w:cs="Arial"/>
          <w:b/>
          <w:color w:val="17365D" w:themeColor="text2" w:themeShade="BF"/>
          <w:sz w:val="18"/>
          <w:szCs w:val="18"/>
        </w:rPr>
        <w:t>i</w:t>
      </w:r>
      <w:r w:rsidR="00F27BBC" w:rsidRPr="0046590F">
        <w:rPr>
          <w:rFonts w:cs="Arial"/>
          <w:b/>
          <w:color w:val="17365D" w:themeColor="text2" w:themeShade="BF"/>
          <w:sz w:val="18"/>
          <w:szCs w:val="18"/>
        </w:rPr>
        <w:t>m prihod</w:t>
      </w:r>
      <w:r w:rsidR="00B97995" w:rsidRPr="0046590F">
        <w:rPr>
          <w:rFonts w:cs="Arial"/>
          <w:b/>
          <w:color w:val="17365D" w:themeColor="text2" w:themeShade="BF"/>
          <w:sz w:val="18"/>
          <w:szCs w:val="18"/>
        </w:rPr>
        <w:t>ima</w:t>
      </w:r>
      <w:r w:rsidR="00F27BBC" w:rsidRPr="0046590F">
        <w:rPr>
          <w:rFonts w:cs="Arial"/>
          <w:b/>
          <w:color w:val="17365D" w:themeColor="text2" w:themeShade="BF"/>
          <w:sz w:val="18"/>
          <w:szCs w:val="18"/>
        </w:rPr>
        <w:t xml:space="preserve"> </w:t>
      </w:r>
      <w:r w:rsidR="008716E3" w:rsidRPr="0046590F">
        <w:rPr>
          <w:rFonts w:cs="Arial"/>
          <w:b/>
          <w:color w:val="17365D" w:themeColor="text2" w:themeShade="BF"/>
          <w:sz w:val="18"/>
          <w:szCs w:val="18"/>
        </w:rPr>
        <w:t xml:space="preserve">i </w:t>
      </w:r>
      <w:r w:rsidR="00B97995" w:rsidRPr="0046590F">
        <w:rPr>
          <w:rFonts w:cs="Arial"/>
          <w:b/>
          <w:color w:val="17365D" w:themeColor="text2" w:themeShade="BF"/>
          <w:sz w:val="18"/>
          <w:szCs w:val="18"/>
        </w:rPr>
        <w:t>dobiti razdoblja</w:t>
      </w:r>
      <w:r w:rsidR="008716E3" w:rsidRPr="0046590F">
        <w:rPr>
          <w:rFonts w:cs="Arial"/>
          <w:b/>
          <w:color w:val="17365D" w:themeColor="text2" w:themeShade="BF"/>
          <w:sz w:val="18"/>
          <w:szCs w:val="18"/>
        </w:rPr>
        <w:t xml:space="preserve"> </w:t>
      </w:r>
      <w:r w:rsidR="00F27BBC" w:rsidRPr="0046590F">
        <w:rPr>
          <w:rFonts w:cs="Arial"/>
          <w:b/>
          <w:color w:val="17365D" w:themeColor="text2" w:themeShade="BF"/>
          <w:sz w:val="18"/>
          <w:szCs w:val="18"/>
        </w:rPr>
        <w:t>u 20</w:t>
      </w:r>
      <w:r w:rsidR="00B97995" w:rsidRPr="0046590F">
        <w:rPr>
          <w:rFonts w:cs="Arial"/>
          <w:b/>
          <w:color w:val="17365D" w:themeColor="text2" w:themeShade="BF"/>
          <w:sz w:val="18"/>
          <w:szCs w:val="18"/>
        </w:rPr>
        <w:t>20</w:t>
      </w:r>
      <w:r w:rsidR="00F27BBC" w:rsidRPr="0046590F">
        <w:rPr>
          <w:rFonts w:cs="Arial"/>
          <w:b/>
          <w:color w:val="17365D" w:themeColor="text2" w:themeShade="BF"/>
          <w:sz w:val="18"/>
          <w:szCs w:val="18"/>
        </w:rPr>
        <w:t>. godini</w:t>
      </w:r>
    </w:p>
    <w:p w:rsidR="00174D12" w:rsidRDefault="00174D12" w:rsidP="00174D12">
      <w:pPr>
        <w:spacing w:after="40" w:line="240" w:lineRule="auto"/>
        <w:ind w:left="1134" w:hanging="1134"/>
        <w:jc w:val="center"/>
        <w:rPr>
          <w:rFonts w:cs="Arial"/>
          <w:b/>
          <w:color w:val="17365D" w:themeColor="text2" w:themeShade="BF"/>
          <w:sz w:val="18"/>
          <w:szCs w:val="18"/>
        </w:rPr>
      </w:pPr>
      <w:r>
        <w:rPr>
          <w:noProof/>
          <w:lang w:eastAsia="hr-HR"/>
        </w:rPr>
        <w:drawing>
          <wp:inline distT="0" distB="0" distL="0" distR="0" wp14:anchorId="160C8A01" wp14:editId="7A16FF6F">
            <wp:extent cx="6313333" cy="866692"/>
            <wp:effectExtent l="0" t="0" r="0" b="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13333" cy="866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2D40" w:rsidRDefault="005B25B6" w:rsidP="00EB2D40">
      <w:pPr>
        <w:spacing w:before="60"/>
        <w:jc w:val="left"/>
        <w:rPr>
          <w:bCs/>
          <w:color w:val="244061"/>
        </w:rPr>
      </w:pPr>
      <w:r w:rsidRPr="00A90E6E">
        <w:rPr>
          <w:i/>
          <w:color w:val="17365D" w:themeColor="text2" w:themeShade="BF"/>
          <w:sz w:val="16"/>
          <w:szCs w:val="16"/>
          <w:lang w:eastAsia="hr-HR"/>
        </w:rPr>
        <w:t xml:space="preserve">Izvor: </w:t>
      </w:r>
      <w:r w:rsidR="00EB2D40" w:rsidRPr="00A90E6E">
        <w:rPr>
          <w:rFonts w:cstheme="minorBidi"/>
          <w:i/>
          <w:sz w:val="16"/>
          <w:szCs w:val="16"/>
        </w:rPr>
        <w:t xml:space="preserve">Financijska </w:t>
      </w:r>
      <w:r w:rsidR="00EB2D40" w:rsidRPr="00B9000B">
        <w:rPr>
          <w:rFonts w:cstheme="minorBidi"/>
          <w:i/>
          <w:sz w:val="16"/>
          <w:szCs w:val="16"/>
        </w:rPr>
        <w:t xml:space="preserve">agencija, servis </w:t>
      </w:r>
      <w:hyperlink r:id="rId10" w:history="1">
        <w:r w:rsidR="00EB2D40" w:rsidRPr="00B9000B">
          <w:rPr>
            <w:rFonts w:eastAsiaTheme="minorHAnsi" w:cs="Arial"/>
            <w:i/>
            <w:color w:val="0000FF" w:themeColor="hyperlink"/>
            <w:sz w:val="16"/>
            <w:szCs w:val="16"/>
            <w:u w:val="single"/>
          </w:rPr>
          <w:t>info.BIZ</w:t>
        </w:r>
      </w:hyperlink>
    </w:p>
    <w:p w:rsidR="00BB586C" w:rsidRDefault="00BB586C" w:rsidP="00467C9C">
      <w:pPr>
        <w:spacing w:before="180" w:line="274" w:lineRule="auto"/>
        <w:rPr>
          <w:rFonts w:cs="Arial"/>
          <w:color w:val="17365D" w:themeColor="text2" w:themeShade="BF"/>
          <w:szCs w:val="20"/>
        </w:rPr>
      </w:pPr>
      <w:r w:rsidRPr="0046590F">
        <w:rPr>
          <w:rFonts w:cs="Arial"/>
          <w:color w:val="17365D" w:themeColor="text2" w:themeShade="BF"/>
          <w:szCs w:val="20"/>
        </w:rPr>
        <w:t>Pro</w:t>
      </w:r>
      <w:r w:rsidR="00527289" w:rsidRPr="0046590F">
        <w:rPr>
          <w:rFonts w:cs="Arial"/>
          <w:color w:val="17365D" w:themeColor="text2" w:themeShade="BF"/>
          <w:szCs w:val="20"/>
        </w:rPr>
        <w:t xml:space="preserve">sječna mjesečna neto </w:t>
      </w:r>
      <w:r w:rsidRPr="0046590F">
        <w:rPr>
          <w:rFonts w:cs="Arial"/>
          <w:color w:val="17365D" w:themeColor="text2" w:themeShade="BF"/>
          <w:szCs w:val="20"/>
        </w:rPr>
        <w:t xml:space="preserve">plaća </w:t>
      </w:r>
      <w:r w:rsidR="00527289" w:rsidRPr="0046590F">
        <w:rPr>
          <w:rFonts w:cs="Arial"/>
          <w:color w:val="17365D" w:themeColor="text2" w:themeShade="BF"/>
          <w:szCs w:val="20"/>
        </w:rPr>
        <w:t>obračuna</w:t>
      </w:r>
      <w:r w:rsidR="00E16D16">
        <w:rPr>
          <w:rFonts w:cs="Arial"/>
          <w:color w:val="17365D" w:themeColor="text2" w:themeShade="BF"/>
          <w:szCs w:val="20"/>
        </w:rPr>
        <w:t>n</w:t>
      </w:r>
      <w:bookmarkStart w:id="0" w:name="_GoBack"/>
      <w:bookmarkEnd w:id="0"/>
      <w:r w:rsidR="00527289" w:rsidRPr="0046590F">
        <w:rPr>
          <w:rFonts w:cs="Arial"/>
          <w:color w:val="17365D" w:themeColor="text2" w:themeShade="BF"/>
          <w:szCs w:val="20"/>
        </w:rPr>
        <w:t>a zaposlenima</w:t>
      </w:r>
      <w:r w:rsidRPr="0046590F">
        <w:rPr>
          <w:rFonts w:cs="Arial"/>
          <w:color w:val="17365D" w:themeColor="text2" w:themeShade="BF"/>
          <w:szCs w:val="20"/>
        </w:rPr>
        <w:t xml:space="preserve"> kod poduzetnika u djelatnosti trgovine na malo igrama i igračkama u specijaliziranim prodavaonica</w:t>
      </w:r>
      <w:r w:rsidR="0046590F" w:rsidRPr="0046590F">
        <w:rPr>
          <w:rFonts w:cs="Arial"/>
          <w:color w:val="17365D" w:themeColor="text2" w:themeShade="BF"/>
          <w:szCs w:val="20"/>
        </w:rPr>
        <w:t>ma</w:t>
      </w:r>
      <w:r w:rsidR="00527289" w:rsidRPr="0046590F">
        <w:rPr>
          <w:rFonts w:cs="Arial"/>
          <w:color w:val="17365D" w:themeColor="text2" w:themeShade="BF"/>
          <w:szCs w:val="20"/>
        </w:rPr>
        <w:t>,</w:t>
      </w:r>
      <w:r w:rsidRPr="0046590F">
        <w:rPr>
          <w:rFonts w:cs="Arial"/>
          <w:color w:val="17365D" w:themeColor="text2" w:themeShade="BF"/>
          <w:szCs w:val="20"/>
        </w:rPr>
        <w:t xml:space="preserve"> u 20</w:t>
      </w:r>
      <w:r w:rsidR="00527289" w:rsidRPr="0046590F">
        <w:rPr>
          <w:rFonts w:cs="Arial"/>
          <w:color w:val="17365D" w:themeColor="text2" w:themeShade="BF"/>
          <w:szCs w:val="20"/>
        </w:rPr>
        <w:t>20</w:t>
      </w:r>
      <w:r w:rsidRPr="0046590F">
        <w:rPr>
          <w:rFonts w:cs="Arial"/>
          <w:color w:val="17365D" w:themeColor="text2" w:themeShade="BF"/>
          <w:szCs w:val="20"/>
        </w:rPr>
        <w:t>. godini</w:t>
      </w:r>
      <w:r w:rsidR="00527289" w:rsidRPr="0046590F">
        <w:rPr>
          <w:rFonts w:cs="Arial"/>
          <w:color w:val="17365D" w:themeColor="text2" w:themeShade="BF"/>
          <w:szCs w:val="20"/>
        </w:rPr>
        <w:t>,</w:t>
      </w:r>
      <w:r w:rsidRPr="0046590F">
        <w:rPr>
          <w:rFonts w:cs="Arial"/>
          <w:color w:val="17365D" w:themeColor="text2" w:themeShade="BF"/>
          <w:szCs w:val="20"/>
        </w:rPr>
        <w:t xml:space="preserve"> iznosila je </w:t>
      </w:r>
      <w:r w:rsidR="00527289" w:rsidRPr="0046590F">
        <w:rPr>
          <w:rFonts w:cs="Arial"/>
          <w:color w:val="17365D" w:themeColor="text2" w:themeShade="BF"/>
          <w:szCs w:val="20"/>
        </w:rPr>
        <w:t>3.215</w:t>
      </w:r>
      <w:r w:rsidRPr="0046590F">
        <w:rPr>
          <w:rFonts w:cs="Arial"/>
          <w:color w:val="17365D" w:themeColor="text2" w:themeShade="BF"/>
          <w:szCs w:val="20"/>
        </w:rPr>
        <w:t xml:space="preserve"> kun</w:t>
      </w:r>
      <w:r w:rsidR="00527289" w:rsidRPr="0046590F">
        <w:rPr>
          <w:rFonts w:cs="Arial"/>
          <w:color w:val="17365D" w:themeColor="text2" w:themeShade="BF"/>
          <w:szCs w:val="20"/>
        </w:rPr>
        <w:t>a</w:t>
      </w:r>
      <w:r w:rsidRPr="0046590F">
        <w:rPr>
          <w:rFonts w:cs="Arial"/>
          <w:color w:val="17365D" w:themeColor="text2" w:themeShade="BF"/>
          <w:szCs w:val="20"/>
        </w:rPr>
        <w:t xml:space="preserve"> i bila je </w:t>
      </w:r>
      <w:r w:rsidR="00527289" w:rsidRPr="0046590F">
        <w:rPr>
          <w:rFonts w:cs="Arial"/>
          <w:color w:val="17365D" w:themeColor="text2" w:themeShade="BF"/>
          <w:szCs w:val="20"/>
        </w:rPr>
        <w:t>11,2</w:t>
      </w:r>
      <w:r w:rsidR="00AD01E9" w:rsidRPr="0046590F">
        <w:rPr>
          <w:rFonts w:cs="Arial"/>
          <w:color w:val="17365D" w:themeColor="text2" w:themeShade="BF"/>
          <w:szCs w:val="20"/>
        </w:rPr>
        <w:t>%</w:t>
      </w:r>
      <w:r w:rsidRPr="0046590F">
        <w:rPr>
          <w:rFonts w:cs="Arial"/>
          <w:color w:val="17365D" w:themeColor="text2" w:themeShade="BF"/>
          <w:szCs w:val="20"/>
        </w:rPr>
        <w:t xml:space="preserve"> </w:t>
      </w:r>
      <w:r w:rsidR="00527289" w:rsidRPr="0046590F">
        <w:rPr>
          <w:rFonts w:cs="Arial"/>
          <w:color w:val="17365D" w:themeColor="text2" w:themeShade="BF"/>
          <w:szCs w:val="20"/>
        </w:rPr>
        <w:t>veća</w:t>
      </w:r>
      <w:r w:rsidRPr="0046590F">
        <w:rPr>
          <w:rFonts w:cs="Arial"/>
          <w:color w:val="17365D" w:themeColor="text2" w:themeShade="BF"/>
          <w:szCs w:val="20"/>
        </w:rPr>
        <w:t xml:space="preserve"> u odnosu na početnu promatranu godinu (201</w:t>
      </w:r>
      <w:r w:rsidR="00527289" w:rsidRPr="0046590F">
        <w:rPr>
          <w:rFonts w:cs="Arial"/>
          <w:color w:val="17365D" w:themeColor="text2" w:themeShade="BF"/>
          <w:szCs w:val="20"/>
        </w:rPr>
        <w:t>6</w:t>
      </w:r>
      <w:r w:rsidRPr="0046590F">
        <w:rPr>
          <w:rFonts w:cs="Arial"/>
          <w:color w:val="17365D" w:themeColor="text2" w:themeShade="BF"/>
          <w:szCs w:val="20"/>
        </w:rPr>
        <w:t xml:space="preserve">.) te </w:t>
      </w:r>
      <w:r w:rsidR="00527289" w:rsidRPr="0046590F">
        <w:rPr>
          <w:rFonts w:cs="Arial"/>
          <w:color w:val="17365D" w:themeColor="text2" w:themeShade="BF"/>
          <w:szCs w:val="20"/>
        </w:rPr>
        <w:t>46,2</w:t>
      </w:r>
      <w:r w:rsidR="00AD01E9" w:rsidRPr="0046590F">
        <w:rPr>
          <w:rFonts w:cs="Arial"/>
          <w:color w:val="17365D" w:themeColor="text2" w:themeShade="BF"/>
          <w:szCs w:val="20"/>
        </w:rPr>
        <w:t>%</w:t>
      </w:r>
      <w:r w:rsidRPr="0046590F">
        <w:rPr>
          <w:rFonts w:cs="Arial"/>
          <w:color w:val="17365D" w:themeColor="text2" w:themeShade="BF"/>
          <w:szCs w:val="20"/>
        </w:rPr>
        <w:t xml:space="preserve"> </w:t>
      </w:r>
      <w:r w:rsidR="00AD01E9" w:rsidRPr="0046590F">
        <w:rPr>
          <w:rFonts w:cs="Arial"/>
          <w:color w:val="17365D" w:themeColor="text2" w:themeShade="BF"/>
          <w:szCs w:val="20"/>
        </w:rPr>
        <w:t>manja</w:t>
      </w:r>
      <w:r w:rsidRPr="0046590F">
        <w:rPr>
          <w:rFonts w:cs="Arial"/>
          <w:color w:val="17365D" w:themeColor="text2" w:themeShade="BF"/>
          <w:szCs w:val="20"/>
        </w:rPr>
        <w:t xml:space="preserve"> od prosječne mjesečne neto plaće zaposlenih kod poduzetnika na razini RH (</w:t>
      </w:r>
      <w:r w:rsidR="00527289" w:rsidRPr="0046590F">
        <w:rPr>
          <w:rFonts w:cs="Arial"/>
          <w:color w:val="17365D" w:themeColor="text2" w:themeShade="BF"/>
          <w:szCs w:val="20"/>
        </w:rPr>
        <w:t>5.971</w:t>
      </w:r>
      <w:r w:rsidRPr="0046590F">
        <w:rPr>
          <w:rFonts w:cs="Arial"/>
          <w:color w:val="17365D" w:themeColor="text2" w:themeShade="BF"/>
          <w:szCs w:val="20"/>
        </w:rPr>
        <w:t xml:space="preserve"> kuna).</w:t>
      </w:r>
    </w:p>
    <w:p w:rsidR="00FD7614" w:rsidRPr="00FD7614" w:rsidRDefault="00FD7614" w:rsidP="00FD7614">
      <w:pPr>
        <w:rPr>
          <w:rFonts w:eastAsia="Times New Roman"/>
          <w:sz w:val="2"/>
          <w:szCs w:val="16"/>
          <w:lang w:eastAsia="hr-HR"/>
        </w:rPr>
      </w:pPr>
    </w:p>
    <w:p w:rsidR="00FD7614" w:rsidRPr="00FD7614" w:rsidRDefault="00FD7614" w:rsidP="00FD7614">
      <w:pPr>
        <w:rPr>
          <w:rFonts w:eastAsia="Times New Roman"/>
          <w:sz w:val="2"/>
          <w:szCs w:val="16"/>
          <w:lang w:eastAsia="hr-HR"/>
        </w:rPr>
      </w:pPr>
    </w:p>
    <w:p w:rsidR="00FD7614" w:rsidRPr="00FD7614" w:rsidRDefault="00FD7614" w:rsidP="00FD7614">
      <w:pPr>
        <w:rPr>
          <w:rFonts w:eastAsia="Times New Roman"/>
          <w:sz w:val="2"/>
          <w:szCs w:val="16"/>
          <w:lang w:eastAsia="hr-HR"/>
        </w:rPr>
      </w:pPr>
    </w:p>
    <w:p w:rsidR="00FD7614" w:rsidRPr="00FD7614" w:rsidRDefault="00FD7614" w:rsidP="00FD7614">
      <w:pPr>
        <w:rPr>
          <w:rFonts w:eastAsia="Times New Roman"/>
          <w:sz w:val="2"/>
          <w:szCs w:val="16"/>
          <w:lang w:eastAsia="hr-HR"/>
        </w:rPr>
      </w:pPr>
    </w:p>
    <w:p w:rsidR="00FD7614" w:rsidRPr="00FD7614" w:rsidRDefault="00FD7614" w:rsidP="00FD7614">
      <w:pPr>
        <w:rPr>
          <w:rFonts w:eastAsia="Times New Roman"/>
          <w:sz w:val="2"/>
          <w:szCs w:val="16"/>
          <w:lang w:eastAsia="hr-HR"/>
        </w:rPr>
      </w:pPr>
    </w:p>
    <w:p w:rsidR="00FD7614" w:rsidRDefault="00FD7614" w:rsidP="00FD7614">
      <w:pPr>
        <w:rPr>
          <w:rFonts w:eastAsia="Times New Roman"/>
          <w:sz w:val="2"/>
          <w:szCs w:val="16"/>
          <w:lang w:eastAsia="hr-HR"/>
        </w:rPr>
      </w:pPr>
    </w:p>
    <w:p w:rsidR="00FD7614" w:rsidRPr="00A07564" w:rsidRDefault="00FD7614" w:rsidP="00FD7614">
      <w:pPr>
        <w:pBdr>
          <w:top w:val="single" w:sz="12" w:space="1" w:color="auto"/>
        </w:pBdr>
        <w:rPr>
          <w:rFonts w:cs="Arial"/>
          <w:i/>
          <w:color w:val="244061"/>
          <w:sz w:val="16"/>
          <w:szCs w:val="15"/>
          <w:lang w:eastAsia="hr-HR"/>
        </w:rPr>
      </w:pPr>
      <w:r w:rsidRPr="00B9000B">
        <w:rPr>
          <w:rFonts w:eastAsia="Times New Roman" w:cs="Arial"/>
          <w:i/>
          <w:color w:val="17365D"/>
          <w:sz w:val="16"/>
          <w:szCs w:val="15"/>
          <w:lang w:eastAsia="hr-HR"/>
        </w:rPr>
        <w:t>Pojedinačni podaci o rezultatima poslovanja poduzetnika dostupni su besplatno na</w:t>
      </w:r>
      <w:r w:rsidRPr="00B9000B">
        <w:rPr>
          <w:rFonts w:cs="Arial"/>
          <w:i/>
          <w:color w:val="17365D"/>
          <w:sz w:val="16"/>
          <w:szCs w:val="15"/>
          <w:lang w:eastAsia="hr-HR"/>
        </w:rPr>
        <w:t xml:space="preserve"> </w:t>
      </w:r>
      <w:hyperlink r:id="rId11" w:history="1">
        <w:r w:rsidRPr="00B9000B">
          <w:rPr>
            <w:rFonts w:cs="Arial"/>
            <w:i/>
            <w:color w:val="17365D"/>
            <w:sz w:val="16"/>
            <w:szCs w:val="15"/>
            <w:u w:val="single"/>
            <w:lang w:eastAsia="hr-HR"/>
          </w:rPr>
          <w:t>RGFI – javna objava</w:t>
        </w:r>
      </w:hyperlink>
      <w:r w:rsidRPr="00B9000B">
        <w:rPr>
          <w:rFonts w:cs="Arial"/>
          <w:i/>
          <w:color w:val="17365D"/>
          <w:sz w:val="16"/>
          <w:szCs w:val="15"/>
          <w:lang w:eastAsia="hr-HR"/>
        </w:rPr>
        <w:t xml:space="preserve"> a agregirani i pojedinačni podaci dostupni su uz</w:t>
      </w:r>
      <w:r w:rsidRPr="00A07564">
        <w:rPr>
          <w:rFonts w:cs="Arial"/>
          <w:i/>
          <w:color w:val="17365D"/>
          <w:sz w:val="16"/>
          <w:szCs w:val="15"/>
          <w:lang w:eastAsia="hr-HR"/>
        </w:rPr>
        <w:t xml:space="preserve"> naknadu na servisu</w:t>
      </w:r>
      <w:r w:rsidRPr="00A07564">
        <w:rPr>
          <w:rFonts w:cs="Arial"/>
          <w:i/>
          <w:color w:val="244061"/>
          <w:sz w:val="16"/>
          <w:szCs w:val="15"/>
          <w:lang w:eastAsia="hr-HR"/>
        </w:rPr>
        <w:t xml:space="preserve"> </w:t>
      </w:r>
      <w:hyperlink r:id="rId12" w:history="1">
        <w:r w:rsidRPr="00A07564">
          <w:rPr>
            <w:rFonts w:cs="Arial"/>
            <w:i/>
            <w:color w:val="0000FF"/>
            <w:sz w:val="16"/>
            <w:szCs w:val="15"/>
            <w:u w:val="single"/>
            <w:lang w:eastAsia="hr-HR"/>
          </w:rPr>
          <w:t>info.BIZ</w:t>
        </w:r>
      </w:hyperlink>
    </w:p>
    <w:p w:rsidR="00FD7614" w:rsidRPr="00D92D41" w:rsidRDefault="00FD7614" w:rsidP="00FD7614">
      <w:pPr>
        <w:spacing w:before="60" w:after="120"/>
        <w:rPr>
          <w:rFonts w:cs="Arial"/>
          <w:bCs/>
          <w:i/>
          <w:color w:val="17365D"/>
          <w:sz w:val="16"/>
          <w:szCs w:val="15"/>
        </w:rPr>
      </w:pPr>
      <w:r w:rsidRPr="00A07564">
        <w:rPr>
          <w:rFonts w:cs="Arial"/>
          <w:bCs/>
          <w:i/>
          <w:color w:val="17365D"/>
          <w:sz w:val="16"/>
          <w:szCs w:val="15"/>
        </w:rPr>
        <w:t xml:space="preserve">Informacija o tome </w:t>
      </w:r>
      <w:r w:rsidRPr="00A07564">
        <w:rPr>
          <w:rFonts w:cs="Arial"/>
          <w:b/>
          <w:i/>
          <w:color w:val="17365D"/>
          <w:sz w:val="16"/>
          <w:szCs w:val="15"/>
          <w:shd w:val="clear" w:color="auto" w:fill="D9D9D9"/>
        </w:rPr>
        <w:t>je li poslovni subjekt u blokadi ili ne</w:t>
      </w:r>
      <w:r w:rsidRPr="00A07564">
        <w:rPr>
          <w:rFonts w:cs="Arial"/>
          <w:bCs/>
          <w:i/>
          <w:color w:val="17365D"/>
          <w:sz w:val="16"/>
          <w:szCs w:val="15"/>
        </w:rPr>
        <w:t xml:space="preserve">, dostupna je korištenjem usluge </w:t>
      </w:r>
      <w:hyperlink r:id="rId13" w:history="1">
        <w:r w:rsidRPr="00A07564">
          <w:rPr>
            <w:rFonts w:cs="Arial"/>
            <w:bCs/>
            <w:i/>
            <w:color w:val="0000FF"/>
            <w:sz w:val="16"/>
            <w:szCs w:val="15"/>
            <w:u w:val="single"/>
          </w:rPr>
          <w:t>FINA InfoBlokade</w:t>
        </w:r>
      </w:hyperlink>
      <w:r w:rsidRPr="00A07564">
        <w:rPr>
          <w:rFonts w:cs="Arial"/>
          <w:bCs/>
          <w:i/>
          <w:color w:val="17365D"/>
          <w:sz w:val="16"/>
          <w:szCs w:val="15"/>
        </w:rPr>
        <w:t xml:space="preserve"> slanjem SMS poruke na broj 818058,</w:t>
      </w:r>
      <w:r w:rsidRPr="00D92D41">
        <w:rPr>
          <w:rFonts w:cs="Arial"/>
          <w:bCs/>
          <w:i/>
          <w:color w:val="17365D"/>
          <w:sz w:val="16"/>
          <w:szCs w:val="15"/>
        </w:rPr>
        <w:t xml:space="preserve"> te korištenjem </w:t>
      </w:r>
      <w:hyperlink r:id="rId14" w:history="1">
        <w:r w:rsidRPr="00D92D41">
          <w:rPr>
            <w:rFonts w:cs="Arial"/>
            <w:bCs/>
            <w:i/>
            <w:color w:val="0000FF"/>
            <w:sz w:val="16"/>
            <w:szCs w:val="15"/>
            <w:u w:val="single"/>
          </w:rPr>
          <w:t>WEB aplikacije JRR</w:t>
        </w:r>
      </w:hyperlink>
      <w:r w:rsidRPr="00D92D41">
        <w:rPr>
          <w:rFonts w:cs="Arial"/>
          <w:bCs/>
          <w:i/>
          <w:color w:val="17365D"/>
          <w:sz w:val="16"/>
          <w:szCs w:val="15"/>
        </w:rPr>
        <w:t xml:space="preserve"> tj. uvidom u podatke o računima i statusu blokade poslovnih subjekata, koji se ažuriraju u </w:t>
      </w:r>
      <w:hyperlink r:id="rId15" w:history="1">
        <w:r w:rsidRPr="00D92D41">
          <w:rPr>
            <w:rFonts w:cs="Arial"/>
            <w:bCs/>
            <w:i/>
            <w:color w:val="0000FF"/>
            <w:sz w:val="16"/>
            <w:szCs w:val="15"/>
            <w:u w:val="single"/>
          </w:rPr>
          <w:t>Jedinstvenom registru računa</w:t>
        </w:r>
      </w:hyperlink>
      <w:r w:rsidRPr="00D92D41">
        <w:rPr>
          <w:rFonts w:cs="Arial"/>
          <w:bCs/>
          <w:i/>
          <w:color w:val="17365D"/>
          <w:sz w:val="16"/>
          <w:szCs w:val="15"/>
        </w:rPr>
        <w:t xml:space="preserve"> kojega u skladu sa zakonskim propisima, od 2002. godine, vodi Financijska agencija.</w:t>
      </w:r>
    </w:p>
    <w:tbl>
      <w:tblPr>
        <w:tblW w:w="9639" w:type="dxa"/>
        <w:jc w:val="center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7423"/>
        <w:gridCol w:w="2216"/>
      </w:tblGrid>
      <w:tr w:rsidR="00FD7614" w:rsidRPr="0005521E" w:rsidTr="00975A5D">
        <w:trPr>
          <w:trHeight w:val="1677"/>
          <w:jc w:val="center"/>
        </w:trPr>
        <w:tc>
          <w:tcPr>
            <w:tcW w:w="764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hideMark/>
          </w:tcPr>
          <w:p w:rsidR="00FD7614" w:rsidRPr="00D92D41" w:rsidRDefault="00F65998" w:rsidP="00975A5D">
            <w:pPr>
              <w:widowControl w:val="0"/>
              <w:tabs>
                <w:tab w:val="left" w:pos="343"/>
              </w:tabs>
              <w:spacing w:before="60"/>
              <w:rPr>
                <w:rFonts w:eastAsia="Times New Roman" w:cs="Arial"/>
                <w:i/>
                <w:color w:val="17365D"/>
                <w:sz w:val="16"/>
                <w:szCs w:val="16"/>
                <w:shd w:val="clear" w:color="auto" w:fill="FFFFFF"/>
                <w:lang w:eastAsia="hr-HR"/>
              </w:rPr>
            </w:pPr>
            <w:hyperlink r:id="rId16" w:history="1">
              <w:r w:rsidR="00FD7614" w:rsidRPr="00B9000B">
                <w:rPr>
                  <w:rFonts w:eastAsia="Times New Roman" w:cs="Arial"/>
                  <w:bCs/>
                  <w:i/>
                  <w:color w:val="0000FF"/>
                  <w:sz w:val="16"/>
                  <w:szCs w:val="16"/>
                  <w:u w:val="single"/>
                  <w:shd w:val="clear" w:color="auto" w:fill="FFFFFF"/>
                  <w:lang w:eastAsia="hr-HR"/>
                </w:rPr>
                <w:t>Info.BIZ</w:t>
              </w:r>
            </w:hyperlink>
            <w:r w:rsidR="00FD7614" w:rsidRPr="00B9000B">
              <w:rPr>
                <w:rFonts w:eastAsia="Times New Roman" w:cs="Arial"/>
                <w:i/>
                <w:color w:val="0000FF"/>
                <w:sz w:val="16"/>
                <w:szCs w:val="16"/>
                <w:u w:val="single"/>
                <w:shd w:val="clear" w:color="auto" w:fill="FFFFFF"/>
                <w:lang w:eastAsia="hr-HR"/>
              </w:rPr>
              <w:t xml:space="preserve"> </w:t>
            </w:r>
            <w:r w:rsidR="00FD7614" w:rsidRPr="00B9000B">
              <w:rPr>
                <w:rFonts w:eastAsia="Times New Roman" w:cs="Arial"/>
                <w:i/>
                <w:color w:val="17365D"/>
                <w:sz w:val="16"/>
                <w:szCs w:val="16"/>
                <w:shd w:val="clear" w:color="auto" w:fill="FFFFFF"/>
                <w:lang w:eastAsia="hr-HR"/>
              </w:rPr>
              <w:t>servis pruža uvid u i</w:t>
            </w:r>
            <w:r w:rsidR="00FD7614" w:rsidRPr="00D92D41">
              <w:rPr>
                <w:rFonts w:eastAsia="Times New Roman" w:cs="Arial"/>
                <w:i/>
                <w:color w:val="17365D"/>
                <w:sz w:val="16"/>
                <w:szCs w:val="16"/>
                <w:shd w:val="clear" w:color="auto" w:fill="FFFFFF"/>
                <w:lang w:eastAsia="hr-HR"/>
              </w:rPr>
              <w:t xml:space="preserve">nformacije o uspješnosti poslovanja i financijskom položaju svih poslovnih subjekata te o poslovnoj okolini u kojoj oni djeluju. Najveća je i najažurnija baza poslovnih informacija za </w:t>
            </w:r>
            <w:r w:rsidR="00FD7614" w:rsidRPr="00D92D41">
              <w:rPr>
                <w:rFonts w:eastAsia="Times New Roman" w:cs="Arial"/>
                <w:i/>
                <w:color w:val="17365D"/>
                <w:sz w:val="16"/>
                <w:szCs w:val="16"/>
                <w:shd w:val="clear" w:color="auto" w:fill="D9D9D9"/>
                <w:lang w:eastAsia="hr-HR"/>
              </w:rPr>
              <w:t xml:space="preserve">više od </w:t>
            </w:r>
            <w:r w:rsidR="00FD7614" w:rsidRPr="00D92D41">
              <w:rPr>
                <w:rFonts w:eastAsia="Times New Roman" w:cs="Arial"/>
                <w:b/>
                <w:i/>
                <w:color w:val="17365D"/>
                <w:sz w:val="16"/>
                <w:szCs w:val="16"/>
                <w:shd w:val="clear" w:color="auto" w:fill="D9D9D9"/>
                <w:lang w:eastAsia="hr-HR"/>
              </w:rPr>
              <w:t>830.000 poslovnih subjekata iz više od 30 izvora</w:t>
            </w:r>
            <w:r w:rsidR="00FD7614" w:rsidRPr="00D92D41">
              <w:rPr>
                <w:rFonts w:eastAsia="Times New Roman" w:cs="Arial"/>
                <w:b/>
                <w:i/>
                <w:color w:val="17365D"/>
                <w:sz w:val="16"/>
                <w:szCs w:val="16"/>
                <w:shd w:val="clear" w:color="auto" w:fill="FFFFFF"/>
                <w:lang w:eastAsia="hr-HR"/>
              </w:rPr>
              <w:t>.</w:t>
            </w:r>
            <w:r w:rsidR="00FD7614" w:rsidRPr="00D92D41">
              <w:rPr>
                <w:rFonts w:eastAsia="Times New Roman" w:cs="Arial"/>
                <w:i/>
                <w:color w:val="17365D"/>
                <w:sz w:val="16"/>
                <w:szCs w:val="16"/>
                <w:shd w:val="clear" w:color="auto" w:fill="FFFFFF"/>
                <w:lang w:eastAsia="hr-HR"/>
              </w:rPr>
              <w:t xml:space="preserve"> Omogućuje brže, jednostavnije i sigurnije donošenje poslovnih odluka, sustavno praćenje klijenata, olakšava izradu poslovnih analiza te praćenje trendova i prepoznavanje potencijala na tržištu.</w:t>
            </w:r>
          </w:p>
          <w:p w:rsidR="00FD7614" w:rsidRPr="00D92D41" w:rsidRDefault="00FD7614" w:rsidP="00975A5D">
            <w:pPr>
              <w:widowControl w:val="0"/>
              <w:tabs>
                <w:tab w:val="left" w:pos="343"/>
              </w:tabs>
              <w:spacing w:before="120"/>
              <w:rPr>
                <w:rFonts w:cs="Arial"/>
                <w:i/>
                <w:color w:val="0000FF"/>
                <w:sz w:val="16"/>
                <w:szCs w:val="16"/>
                <w:u w:val="single"/>
              </w:rPr>
            </w:pPr>
            <w:r w:rsidRPr="00D92D41">
              <w:rPr>
                <w:rFonts w:cs="Arial"/>
                <w:i/>
                <w:color w:val="17365D"/>
                <w:sz w:val="16"/>
                <w:szCs w:val="16"/>
                <w:shd w:val="clear" w:color="auto" w:fill="D9D9D9"/>
              </w:rPr>
              <w:t xml:space="preserve">Ako ste zainteresirani i </w:t>
            </w:r>
            <w:r w:rsidRPr="00D92D41">
              <w:rPr>
                <w:rFonts w:cs="Arial"/>
                <w:b/>
                <w:i/>
                <w:color w:val="17365D"/>
                <w:sz w:val="16"/>
                <w:szCs w:val="16"/>
                <w:shd w:val="clear" w:color="auto" w:fill="D9D9D9"/>
              </w:rPr>
              <w:t>želite ugovoriti uslugu ili kupiti veći broj paketa</w:t>
            </w:r>
            <w:r w:rsidRPr="00D92D41">
              <w:rPr>
                <w:rFonts w:cs="Arial"/>
                <w:i/>
                <w:color w:val="17365D"/>
                <w:sz w:val="16"/>
                <w:szCs w:val="16"/>
                <w:shd w:val="clear" w:color="auto" w:fill="F5F6F8"/>
              </w:rPr>
              <w:t>:</w:t>
            </w:r>
            <w:r w:rsidRPr="00D92D41">
              <w:rPr>
                <w:rFonts w:cs="Arial"/>
                <w:i/>
                <w:color w:val="244061"/>
                <w:sz w:val="16"/>
                <w:szCs w:val="16"/>
                <w:shd w:val="clear" w:color="auto" w:fill="F5F6F8"/>
              </w:rPr>
              <w:t xml:space="preserve"> </w:t>
            </w:r>
            <w:hyperlink r:id="rId17" w:history="1">
              <w:r w:rsidRPr="00D92D41">
                <w:rPr>
                  <w:rFonts w:cs="Arial"/>
                  <w:i/>
                  <w:color w:val="0000FF"/>
                  <w:sz w:val="16"/>
                  <w:szCs w:val="16"/>
                  <w:u w:val="single"/>
                </w:rPr>
                <w:t>prodaja@fina.hr</w:t>
              </w:r>
            </w:hyperlink>
          </w:p>
          <w:p w:rsidR="00FD7614" w:rsidRPr="00D92D41" w:rsidRDefault="00FD7614" w:rsidP="00975A5D">
            <w:pPr>
              <w:widowControl w:val="0"/>
              <w:tabs>
                <w:tab w:val="left" w:pos="343"/>
              </w:tabs>
              <w:rPr>
                <w:rFonts w:cs="Arial"/>
                <w:i/>
                <w:color w:val="0000FF"/>
                <w:sz w:val="16"/>
                <w:szCs w:val="16"/>
                <w:u w:val="single"/>
                <w:lang w:eastAsia="hr-HR"/>
              </w:rPr>
            </w:pPr>
            <w:r w:rsidRPr="00D92D41">
              <w:rPr>
                <w:rFonts w:cs="Arial"/>
                <w:i/>
                <w:color w:val="17365D"/>
                <w:sz w:val="16"/>
                <w:szCs w:val="16"/>
                <w:shd w:val="clear" w:color="auto" w:fill="D9D9D9"/>
              </w:rPr>
              <w:t xml:space="preserve">Ako </w:t>
            </w:r>
            <w:r w:rsidRPr="00D92D41">
              <w:rPr>
                <w:rFonts w:cs="Arial"/>
                <w:b/>
                <w:i/>
                <w:color w:val="17365D"/>
                <w:sz w:val="16"/>
                <w:szCs w:val="16"/>
                <w:shd w:val="clear" w:color="auto" w:fill="D9D9D9"/>
              </w:rPr>
              <w:t>trebate korisničku podršku</w:t>
            </w:r>
            <w:r w:rsidRPr="00D92D41">
              <w:rPr>
                <w:rFonts w:cs="Arial"/>
                <w:i/>
                <w:color w:val="17365D"/>
                <w:sz w:val="16"/>
                <w:szCs w:val="16"/>
                <w:shd w:val="clear" w:color="auto" w:fill="F5F6F8"/>
              </w:rPr>
              <w:t xml:space="preserve">: 0800 0080, </w:t>
            </w:r>
            <w:hyperlink r:id="rId18" w:history="1">
              <w:r w:rsidRPr="00D92D41">
                <w:rPr>
                  <w:rFonts w:cs="Arial"/>
                  <w:i/>
                  <w:color w:val="007AFF"/>
                  <w:sz w:val="16"/>
                  <w:szCs w:val="16"/>
                  <w:u w:val="single"/>
                </w:rPr>
                <w:t>info@fina.hr</w:t>
              </w:r>
            </w:hyperlink>
          </w:p>
        </w:tc>
        <w:tc>
          <w:tcPr>
            <w:tcW w:w="227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:rsidR="00FD7614" w:rsidRPr="0005521E" w:rsidRDefault="00FD7614" w:rsidP="00975A5D">
            <w:pPr>
              <w:jc w:val="center"/>
              <w:rPr>
                <w:rFonts w:cs="Arial"/>
                <w:bCs/>
                <w:color w:val="17365D"/>
                <w:sz w:val="16"/>
                <w:szCs w:val="16"/>
              </w:rPr>
            </w:pPr>
            <w:r>
              <w:rPr>
                <w:rFonts w:cs="Arial"/>
                <w:noProof/>
                <w:sz w:val="16"/>
                <w:szCs w:val="16"/>
                <w:lang w:eastAsia="hr-HR"/>
              </w:rPr>
              <w:drawing>
                <wp:inline distT="0" distB="0" distL="0" distR="0" wp14:anchorId="4AD61D06" wp14:editId="13243F35">
                  <wp:extent cx="1288415" cy="1113155"/>
                  <wp:effectExtent l="0" t="0" r="6985" b="0"/>
                  <wp:docPr id="5" name="Slika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/>
                          <pic:cNvPicPr>
                            <a:picLocks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670" r="585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8415" cy="1113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44FA3" w:rsidRPr="00FD7614" w:rsidRDefault="00A44FA3" w:rsidP="00FD7614">
      <w:pPr>
        <w:rPr>
          <w:rFonts w:eastAsia="Times New Roman"/>
          <w:sz w:val="2"/>
          <w:szCs w:val="16"/>
          <w:lang w:eastAsia="hr-HR"/>
        </w:rPr>
      </w:pPr>
    </w:p>
    <w:sectPr w:rsidR="00A44FA3" w:rsidRPr="00FD7614" w:rsidSect="00DB2231">
      <w:headerReference w:type="default" r:id="rId20"/>
      <w:pgSz w:w="11906" w:h="16838"/>
      <w:pgMar w:top="1021" w:right="907" w:bottom="794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998" w:rsidRDefault="00F65998" w:rsidP="00BC2D19">
      <w:pPr>
        <w:spacing w:line="240" w:lineRule="auto"/>
      </w:pPr>
      <w:r>
        <w:separator/>
      </w:r>
    </w:p>
  </w:endnote>
  <w:endnote w:type="continuationSeparator" w:id="0">
    <w:p w:rsidR="00F65998" w:rsidRDefault="00F65998" w:rsidP="00BC2D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998" w:rsidRDefault="00F65998" w:rsidP="00BC2D19">
      <w:pPr>
        <w:spacing w:line="240" w:lineRule="auto"/>
      </w:pPr>
      <w:r>
        <w:separator/>
      </w:r>
    </w:p>
  </w:footnote>
  <w:footnote w:type="continuationSeparator" w:id="0">
    <w:p w:rsidR="00F65998" w:rsidRDefault="00F65998" w:rsidP="00BC2D19">
      <w:pPr>
        <w:spacing w:line="240" w:lineRule="auto"/>
      </w:pPr>
      <w:r>
        <w:continuationSeparator/>
      </w:r>
    </w:p>
  </w:footnote>
  <w:footnote w:id="1">
    <w:p w:rsidR="00133383" w:rsidRPr="00A63BA2" w:rsidRDefault="00133383" w:rsidP="003A27EC">
      <w:pPr>
        <w:pStyle w:val="FootnoteText"/>
        <w:spacing w:before="20"/>
        <w:rPr>
          <w:color w:val="244061" w:themeColor="accent1" w:themeShade="80"/>
          <w:sz w:val="16"/>
          <w:szCs w:val="17"/>
        </w:rPr>
      </w:pPr>
      <w:r w:rsidRPr="00A63BA2">
        <w:rPr>
          <w:rStyle w:val="FootnoteReference"/>
          <w:rFonts w:cs="Arial"/>
          <w:color w:val="244061" w:themeColor="accent1" w:themeShade="80"/>
          <w:sz w:val="16"/>
          <w:szCs w:val="17"/>
        </w:rPr>
        <w:footnoteRef/>
      </w:r>
      <w:r w:rsidRPr="00A63BA2">
        <w:rPr>
          <w:rFonts w:cs="Arial"/>
          <w:color w:val="244061" w:themeColor="accent1" w:themeShade="80"/>
          <w:sz w:val="16"/>
          <w:szCs w:val="17"/>
        </w:rPr>
        <w:t xml:space="preserve"> </w:t>
      </w:r>
      <w:r w:rsidR="00F45F12" w:rsidRPr="00A63BA2">
        <w:rPr>
          <w:rFonts w:cs="Arial"/>
          <w:color w:val="244061" w:themeColor="accent1" w:themeShade="80"/>
          <w:sz w:val="16"/>
          <w:szCs w:val="17"/>
        </w:rPr>
        <w:t>Pozicija iz GFI-a (iz obrazaca do 2016.) - "Investicije u novu dugotrajnu imovinu" istovjetna je poziciji "Bruto investicije samo u novu dugotrajnu imovinu" u obrascima GFI-a 2016. - 2020.</w:t>
      </w:r>
    </w:p>
  </w:footnote>
  <w:footnote w:id="2">
    <w:p w:rsidR="005C4BCA" w:rsidRPr="00A63BA2" w:rsidRDefault="005C4BCA" w:rsidP="003A27EC">
      <w:pPr>
        <w:pStyle w:val="FootnoteText"/>
        <w:spacing w:before="20"/>
        <w:rPr>
          <w:color w:val="244061" w:themeColor="accent1" w:themeShade="80"/>
          <w:sz w:val="16"/>
          <w:szCs w:val="17"/>
        </w:rPr>
      </w:pPr>
      <w:r w:rsidRPr="00A63BA2">
        <w:rPr>
          <w:rStyle w:val="FootnoteReference"/>
          <w:color w:val="244061" w:themeColor="accent1" w:themeShade="80"/>
          <w:sz w:val="16"/>
          <w:szCs w:val="17"/>
        </w:rPr>
        <w:footnoteRef/>
      </w:r>
      <w:r w:rsidRPr="00A63BA2">
        <w:rPr>
          <w:color w:val="244061" w:themeColor="accent1" w:themeShade="80"/>
          <w:sz w:val="16"/>
          <w:szCs w:val="17"/>
        </w:rPr>
        <w:t xml:space="preserve"> Društvo je osnovano 2012. g. u postupku odvajanja od društva one2play d.o.o.</w:t>
      </w:r>
      <w:r w:rsidR="00A046B2" w:rsidRPr="00A63BA2">
        <w:rPr>
          <w:color w:val="244061" w:themeColor="accent1" w:themeShade="80"/>
          <w:sz w:val="16"/>
          <w:szCs w:val="17"/>
        </w:rPr>
        <w:t>.</w:t>
      </w:r>
      <w:r w:rsidRPr="00A63BA2">
        <w:rPr>
          <w:color w:val="244061" w:themeColor="accent1" w:themeShade="80"/>
          <w:sz w:val="16"/>
          <w:szCs w:val="17"/>
        </w:rPr>
        <w:t xml:space="preserve"> Trgovački sud u Zagrebu 17. travnja 2015. g. otvorio je stečajni postupak nad one2play maloprodaja d.o.o.</w:t>
      </w:r>
      <w:r w:rsidR="00A046B2" w:rsidRPr="00A63BA2">
        <w:rPr>
          <w:color w:val="244061" w:themeColor="accent1" w:themeShade="80"/>
          <w:sz w:val="16"/>
          <w:szCs w:val="17"/>
        </w:rPr>
        <w:t>.</w:t>
      </w:r>
      <w:r w:rsidRPr="00A63BA2">
        <w:rPr>
          <w:color w:val="244061" w:themeColor="accent1" w:themeShade="80"/>
          <w:sz w:val="16"/>
          <w:szCs w:val="17"/>
        </w:rPr>
        <w:t xml:space="preserve"> Izvor: Sudski registar, www.sudreg.pravosudje</w:t>
      </w:r>
      <w:r w:rsidR="00A046B2" w:rsidRPr="00A63BA2">
        <w:rPr>
          <w:color w:val="244061" w:themeColor="accent1" w:themeShade="80"/>
          <w:sz w:val="16"/>
          <w:szCs w:val="17"/>
        </w:rPr>
        <w:t>.hr, preuzeto 29</w:t>
      </w:r>
      <w:r w:rsidRPr="00A63BA2">
        <w:rPr>
          <w:color w:val="244061" w:themeColor="accent1" w:themeShade="80"/>
          <w:sz w:val="16"/>
          <w:szCs w:val="17"/>
        </w:rPr>
        <w:t xml:space="preserve">. </w:t>
      </w:r>
      <w:r w:rsidR="00A046B2" w:rsidRPr="00A63BA2">
        <w:rPr>
          <w:color w:val="244061" w:themeColor="accent1" w:themeShade="80"/>
          <w:sz w:val="16"/>
          <w:szCs w:val="17"/>
        </w:rPr>
        <w:t>studenoga</w:t>
      </w:r>
      <w:r w:rsidRPr="00A63BA2">
        <w:rPr>
          <w:color w:val="244061" w:themeColor="accent1" w:themeShade="80"/>
          <w:sz w:val="16"/>
          <w:szCs w:val="17"/>
        </w:rPr>
        <w:t xml:space="preserve"> 202</w:t>
      </w:r>
      <w:r w:rsidR="00A046B2" w:rsidRPr="00A63BA2">
        <w:rPr>
          <w:color w:val="244061" w:themeColor="accent1" w:themeShade="80"/>
          <w:sz w:val="16"/>
          <w:szCs w:val="17"/>
        </w:rPr>
        <w:t>1</w:t>
      </w:r>
      <w:r w:rsidRPr="00A63BA2">
        <w:rPr>
          <w:color w:val="244061" w:themeColor="accent1" w:themeShade="80"/>
          <w:sz w:val="16"/>
          <w:szCs w:val="17"/>
        </w:rPr>
        <w:t>. g.</w:t>
      </w:r>
    </w:p>
  </w:footnote>
  <w:footnote w:id="3">
    <w:p w:rsidR="00F60A5C" w:rsidRPr="00A63BA2" w:rsidRDefault="00F60A5C" w:rsidP="003A27EC">
      <w:pPr>
        <w:pStyle w:val="FootnoteText"/>
        <w:shd w:val="clear" w:color="auto" w:fill="FFFFFF" w:themeFill="background1"/>
        <w:rPr>
          <w:color w:val="244061" w:themeColor="accent1" w:themeShade="80"/>
          <w:sz w:val="16"/>
          <w:szCs w:val="17"/>
        </w:rPr>
      </w:pPr>
      <w:r w:rsidRPr="00A63BA2">
        <w:rPr>
          <w:rStyle w:val="FootnoteReference"/>
          <w:color w:val="244061" w:themeColor="accent1" w:themeShade="80"/>
          <w:sz w:val="16"/>
          <w:szCs w:val="17"/>
        </w:rPr>
        <w:footnoteRef/>
      </w:r>
      <w:r w:rsidRPr="00A63BA2">
        <w:rPr>
          <w:color w:val="244061" w:themeColor="accent1" w:themeShade="80"/>
          <w:sz w:val="16"/>
          <w:szCs w:val="17"/>
        </w:rPr>
        <w:t xml:space="preserve"> Društvo nije podnijelo GFI za 2015. g. te se iskazani podaci odnose na rezultate iskazane u GFI-u za 2016. g, stupac – prethodna godina (2015.). Trgovački sud u Zagrebu brisao je one2play d.o.o. u stečaju 19. rujna 2016. Izvor: Sudski registar, preuzeto </w:t>
      </w:r>
      <w:r w:rsidR="00C15471" w:rsidRPr="00A63BA2">
        <w:rPr>
          <w:color w:val="244061" w:themeColor="accent1" w:themeShade="80"/>
          <w:sz w:val="16"/>
          <w:szCs w:val="17"/>
        </w:rPr>
        <w:t>29</w:t>
      </w:r>
      <w:r w:rsidRPr="00A63BA2">
        <w:rPr>
          <w:color w:val="244061" w:themeColor="accent1" w:themeShade="80"/>
          <w:sz w:val="16"/>
          <w:szCs w:val="17"/>
        </w:rPr>
        <w:t>. studenoga 20</w:t>
      </w:r>
      <w:r w:rsidR="00C15471" w:rsidRPr="00A63BA2">
        <w:rPr>
          <w:color w:val="244061" w:themeColor="accent1" w:themeShade="80"/>
          <w:sz w:val="16"/>
          <w:szCs w:val="17"/>
        </w:rPr>
        <w:t>21</w:t>
      </w:r>
      <w:r w:rsidRPr="00A63BA2">
        <w:rPr>
          <w:color w:val="244061" w:themeColor="accent1" w:themeShade="80"/>
          <w:sz w:val="16"/>
          <w:szCs w:val="17"/>
        </w:rPr>
        <w:t>. g.</w:t>
      </w:r>
    </w:p>
  </w:footnote>
  <w:footnote w:id="4">
    <w:p w:rsidR="009424A9" w:rsidRPr="007542F7" w:rsidRDefault="009424A9" w:rsidP="003A27EC">
      <w:pPr>
        <w:pStyle w:val="FootnoteText"/>
        <w:shd w:val="clear" w:color="auto" w:fill="FFFFFF" w:themeFill="background1"/>
        <w:spacing w:before="20"/>
        <w:rPr>
          <w:color w:val="244061" w:themeColor="accent1" w:themeShade="80"/>
          <w:sz w:val="16"/>
          <w:szCs w:val="17"/>
        </w:rPr>
      </w:pPr>
      <w:r w:rsidRPr="00A63BA2">
        <w:rPr>
          <w:rStyle w:val="FootnoteReference"/>
          <w:color w:val="244061" w:themeColor="accent1" w:themeShade="80"/>
          <w:sz w:val="16"/>
          <w:szCs w:val="17"/>
        </w:rPr>
        <w:footnoteRef/>
      </w:r>
      <w:r w:rsidRPr="00A63BA2">
        <w:rPr>
          <w:color w:val="244061" w:themeColor="accent1" w:themeShade="80"/>
          <w:sz w:val="16"/>
          <w:szCs w:val="17"/>
        </w:rPr>
        <w:t xml:space="preserve"> Trgovački sud u Zagrebu </w:t>
      </w:r>
      <w:r w:rsidR="00DB0740" w:rsidRPr="00A63BA2">
        <w:rPr>
          <w:color w:val="244061" w:themeColor="accent1" w:themeShade="80"/>
          <w:sz w:val="16"/>
          <w:szCs w:val="17"/>
        </w:rPr>
        <w:t>8</w:t>
      </w:r>
      <w:r w:rsidRPr="00A63BA2">
        <w:rPr>
          <w:color w:val="244061" w:themeColor="accent1" w:themeShade="80"/>
          <w:sz w:val="16"/>
          <w:szCs w:val="17"/>
        </w:rPr>
        <w:t xml:space="preserve">. </w:t>
      </w:r>
      <w:r w:rsidR="00DB0740" w:rsidRPr="00A63BA2">
        <w:rPr>
          <w:color w:val="244061" w:themeColor="accent1" w:themeShade="80"/>
          <w:sz w:val="16"/>
          <w:szCs w:val="17"/>
        </w:rPr>
        <w:t>siječnja</w:t>
      </w:r>
      <w:r w:rsidRPr="00A63BA2">
        <w:rPr>
          <w:color w:val="244061" w:themeColor="accent1" w:themeShade="80"/>
          <w:sz w:val="16"/>
          <w:szCs w:val="17"/>
        </w:rPr>
        <w:t xml:space="preserve"> 20</w:t>
      </w:r>
      <w:r w:rsidR="00DB0740" w:rsidRPr="00A63BA2">
        <w:rPr>
          <w:color w:val="244061" w:themeColor="accent1" w:themeShade="80"/>
          <w:sz w:val="16"/>
          <w:szCs w:val="17"/>
        </w:rPr>
        <w:t>20</w:t>
      </w:r>
      <w:r w:rsidRPr="00A63BA2">
        <w:rPr>
          <w:color w:val="244061" w:themeColor="accent1" w:themeShade="80"/>
          <w:sz w:val="16"/>
          <w:szCs w:val="17"/>
        </w:rPr>
        <w:t xml:space="preserve">. godine brisao je PRODIS MALOPRODAJA d.o.o. u stečaju. Izvor: Sudski registar, www.sudreg.pravosudje.hr, preuzeto </w:t>
      </w:r>
      <w:r w:rsidR="00DB0740" w:rsidRPr="00A63BA2">
        <w:rPr>
          <w:color w:val="244061" w:themeColor="accent1" w:themeShade="80"/>
          <w:sz w:val="16"/>
          <w:szCs w:val="17"/>
        </w:rPr>
        <w:t>29</w:t>
      </w:r>
      <w:r w:rsidRPr="00A63BA2">
        <w:rPr>
          <w:color w:val="244061" w:themeColor="accent1" w:themeShade="80"/>
          <w:sz w:val="16"/>
          <w:szCs w:val="17"/>
        </w:rPr>
        <w:t xml:space="preserve">. </w:t>
      </w:r>
      <w:r w:rsidR="00DB0740" w:rsidRPr="00A63BA2">
        <w:rPr>
          <w:color w:val="244061" w:themeColor="accent1" w:themeShade="80"/>
          <w:sz w:val="16"/>
          <w:szCs w:val="17"/>
        </w:rPr>
        <w:t>studenoga</w:t>
      </w:r>
      <w:r w:rsidRPr="00A63BA2">
        <w:rPr>
          <w:color w:val="244061" w:themeColor="accent1" w:themeShade="80"/>
          <w:sz w:val="16"/>
          <w:szCs w:val="17"/>
        </w:rPr>
        <w:t xml:space="preserve"> 202</w:t>
      </w:r>
      <w:r w:rsidR="00DB0740" w:rsidRPr="00A63BA2">
        <w:rPr>
          <w:color w:val="244061" w:themeColor="accent1" w:themeShade="80"/>
          <w:sz w:val="16"/>
          <w:szCs w:val="17"/>
        </w:rPr>
        <w:t>1</w:t>
      </w:r>
      <w:r w:rsidRPr="00A63BA2">
        <w:rPr>
          <w:color w:val="244061" w:themeColor="accent1" w:themeShade="80"/>
          <w:sz w:val="16"/>
          <w:szCs w:val="17"/>
        </w:rPr>
        <w:t>. g.</w:t>
      </w:r>
    </w:p>
  </w:footnote>
  <w:footnote w:id="5">
    <w:p w:rsidR="00387AD7" w:rsidRPr="00A63BA2" w:rsidRDefault="00387AD7" w:rsidP="003A27EC">
      <w:pPr>
        <w:pStyle w:val="FootnoteText"/>
        <w:spacing w:before="20"/>
        <w:rPr>
          <w:sz w:val="16"/>
          <w:szCs w:val="17"/>
        </w:rPr>
      </w:pPr>
      <w:r w:rsidRPr="00A63BA2">
        <w:rPr>
          <w:rStyle w:val="FootnoteReference"/>
          <w:sz w:val="16"/>
          <w:szCs w:val="17"/>
        </w:rPr>
        <w:footnoteRef/>
      </w:r>
      <w:r w:rsidRPr="00A63BA2">
        <w:rPr>
          <w:sz w:val="16"/>
          <w:szCs w:val="17"/>
        </w:rPr>
        <w:t xml:space="preserve"> </w:t>
      </w:r>
      <w:r w:rsidRPr="00A63BA2">
        <w:rPr>
          <w:color w:val="244061" w:themeColor="accent1" w:themeShade="80"/>
          <w:sz w:val="16"/>
          <w:szCs w:val="17"/>
        </w:rPr>
        <w:t xml:space="preserve">Trgovački sud u </w:t>
      </w:r>
      <w:r w:rsidR="003A27EC" w:rsidRPr="00A63BA2">
        <w:rPr>
          <w:color w:val="244061" w:themeColor="accent1" w:themeShade="80"/>
          <w:sz w:val="16"/>
          <w:szCs w:val="17"/>
        </w:rPr>
        <w:t>Varaždinu</w:t>
      </w:r>
      <w:r w:rsidRPr="00A63BA2">
        <w:rPr>
          <w:color w:val="244061" w:themeColor="accent1" w:themeShade="80"/>
          <w:sz w:val="16"/>
          <w:szCs w:val="17"/>
        </w:rPr>
        <w:t xml:space="preserve"> </w:t>
      </w:r>
      <w:r w:rsidR="003A27EC" w:rsidRPr="00A63BA2">
        <w:rPr>
          <w:color w:val="244061" w:themeColor="accent1" w:themeShade="80"/>
          <w:sz w:val="16"/>
          <w:szCs w:val="17"/>
        </w:rPr>
        <w:t>12</w:t>
      </w:r>
      <w:r w:rsidRPr="00A63BA2">
        <w:rPr>
          <w:color w:val="244061" w:themeColor="accent1" w:themeShade="80"/>
          <w:sz w:val="16"/>
          <w:szCs w:val="17"/>
        </w:rPr>
        <w:t xml:space="preserve">. </w:t>
      </w:r>
      <w:r w:rsidR="003A27EC" w:rsidRPr="00A63BA2">
        <w:rPr>
          <w:color w:val="244061" w:themeColor="accent1" w:themeShade="80"/>
          <w:sz w:val="16"/>
          <w:szCs w:val="17"/>
        </w:rPr>
        <w:t>rujna</w:t>
      </w:r>
      <w:r w:rsidRPr="00A63BA2">
        <w:rPr>
          <w:color w:val="244061" w:themeColor="accent1" w:themeShade="80"/>
          <w:sz w:val="16"/>
          <w:szCs w:val="17"/>
        </w:rPr>
        <w:t xml:space="preserve"> 2018. godine brisao je </w:t>
      </w:r>
      <w:r w:rsidRPr="00A63BA2">
        <w:rPr>
          <w:rFonts w:cs="Arial"/>
          <w:color w:val="17365D"/>
          <w:sz w:val="16"/>
          <w:szCs w:val="17"/>
        </w:rPr>
        <w:t>P. MAXI d.o.o.</w:t>
      </w:r>
      <w:r w:rsidRPr="00A63BA2">
        <w:rPr>
          <w:color w:val="244061" w:themeColor="accent1" w:themeShade="80"/>
          <w:sz w:val="16"/>
          <w:szCs w:val="17"/>
        </w:rPr>
        <w:t xml:space="preserve"> u stečaju. Izvor: Sudski registar, www.</w:t>
      </w:r>
      <w:r w:rsidR="003A27EC" w:rsidRPr="00A63BA2">
        <w:rPr>
          <w:color w:val="244061" w:themeColor="accent1" w:themeShade="80"/>
          <w:sz w:val="16"/>
          <w:szCs w:val="17"/>
        </w:rPr>
        <w:t>sudreg.pravosudje.hr, preuzeto 29</w:t>
      </w:r>
      <w:r w:rsidRPr="00A63BA2">
        <w:rPr>
          <w:color w:val="244061" w:themeColor="accent1" w:themeShade="80"/>
          <w:sz w:val="16"/>
          <w:szCs w:val="17"/>
        </w:rPr>
        <w:t xml:space="preserve">. </w:t>
      </w:r>
      <w:r w:rsidR="003A27EC" w:rsidRPr="00A63BA2">
        <w:rPr>
          <w:color w:val="244061" w:themeColor="accent1" w:themeShade="80"/>
          <w:sz w:val="16"/>
          <w:szCs w:val="17"/>
        </w:rPr>
        <w:t>studenoga</w:t>
      </w:r>
      <w:r w:rsidRPr="00A63BA2">
        <w:rPr>
          <w:color w:val="244061" w:themeColor="accent1" w:themeShade="80"/>
          <w:sz w:val="16"/>
          <w:szCs w:val="17"/>
        </w:rPr>
        <w:t xml:space="preserve"> 202</w:t>
      </w:r>
      <w:r w:rsidR="003A27EC" w:rsidRPr="00A63BA2">
        <w:rPr>
          <w:color w:val="244061" w:themeColor="accent1" w:themeShade="80"/>
          <w:sz w:val="16"/>
          <w:szCs w:val="17"/>
        </w:rPr>
        <w:t>1</w:t>
      </w:r>
      <w:r w:rsidRPr="00A63BA2">
        <w:rPr>
          <w:color w:val="244061" w:themeColor="accent1" w:themeShade="80"/>
          <w:sz w:val="16"/>
          <w:szCs w:val="17"/>
        </w:rPr>
        <w:t>. g.</w:t>
      </w:r>
    </w:p>
  </w:footnote>
  <w:footnote w:id="6">
    <w:p w:rsidR="00387AD7" w:rsidRPr="00A63BA2" w:rsidRDefault="00387AD7" w:rsidP="003A27EC">
      <w:pPr>
        <w:pStyle w:val="FootnoteText"/>
        <w:spacing w:before="20"/>
        <w:jc w:val="left"/>
        <w:rPr>
          <w:color w:val="244061" w:themeColor="accent1" w:themeShade="80"/>
          <w:sz w:val="16"/>
          <w:szCs w:val="17"/>
        </w:rPr>
      </w:pPr>
      <w:r w:rsidRPr="00A63BA2">
        <w:rPr>
          <w:rStyle w:val="FootnoteReference"/>
          <w:sz w:val="16"/>
          <w:szCs w:val="17"/>
        </w:rPr>
        <w:footnoteRef/>
      </w:r>
      <w:r w:rsidR="003A27EC" w:rsidRPr="00A63BA2">
        <w:rPr>
          <w:sz w:val="16"/>
          <w:szCs w:val="17"/>
        </w:rPr>
        <w:t xml:space="preserve"> </w:t>
      </w:r>
      <w:r w:rsidRPr="00A63BA2">
        <w:rPr>
          <w:sz w:val="16"/>
          <w:szCs w:val="17"/>
        </w:rPr>
        <w:t xml:space="preserve">Trgovački sud u </w:t>
      </w:r>
      <w:r w:rsidRPr="00A63BA2">
        <w:rPr>
          <w:color w:val="244061" w:themeColor="accent1" w:themeShade="80"/>
          <w:sz w:val="16"/>
          <w:szCs w:val="17"/>
        </w:rPr>
        <w:t xml:space="preserve">Zagrebu </w:t>
      </w:r>
      <w:r w:rsidR="003A27EC" w:rsidRPr="00A63BA2">
        <w:rPr>
          <w:color w:val="244061" w:themeColor="accent1" w:themeShade="80"/>
          <w:sz w:val="16"/>
          <w:szCs w:val="17"/>
        </w:rPr>
        <w:t>3</w:t>
      </w:r>
      <w:r w:rsidRPr="00A63BA2">
        <w:rPr>
          <w:color w:val="244061" w:themeColor="accent1" w:themeShade="80"/>
          <w:sz w:val="16"/>
          <w:szCs w:val="17"/>
        </w:rPr>
        <w:t xml:space="preserve">. </w:t>
      </w:r>
      <w:r w:rsidR="003A27EC" w:rsidRPr="00A63BA2">
        <w:rPr>
          <w:color w:val="244061" w:themeColor="accent1" w:themeShade="80"/>
          <w:sz w:val="16"/>
          <w:szCs w:val="17"/>
        </w:rPr>
        <w:t>kolovoza</w:t>
      </w:r>
      <w:r w:rsidRPr="00A63BA2">
        <w:rPr>
          <w:color w:val="244061" w:themeColor="accent1" w:themeShade="80"/>
          <w:sz w:val="16"/>
          <w:szCs w:val="17"/>
        </w:rPr>
        <w:t xml:space="preserve"> 2020. godine brisao je TOYS4PLAY d.o.o. u stečaju. Izvor: Sudski registar, ww.</w:t>
      </w:r>
      <w:r w:rsidR="003A27EC" w:rsidRPr="00A63BA2">
        <w:rPr>
          <w:color w:val="244061" w:themeColor="accent1" w:themeShade="80"/>
          <w:sz w:val="16"/>
          <w:szCs w:val="17"/>
        </w:rPr>
        <w:t>sudreg.pravosudje.hr, preuzeto 29</w:t>
      </w:r>
      <w:r w:rsidRPr="00A63BA2">
        <w:rPr>
          <w:color w:val="244061" w:themeColor="accent1" w:themeShade="80"/>
          <w:sz w:val="16"/>
          <w:szCs w:val="17"/>
        </w:rPr>
        <w:t xml:space="preserve">. </w:t>
      </w:r>
      <w:r w:rsidR="003A27EC" w:rsidRPr="00A63BA2">
        <w:rPr>
          <w:color w:val="244061" w:themeColor="accent1" w:themeShade="80"/>
          <w:sz w:val="16"/>
          <w:szCs w:val="17"/>
        </w:rPr>
        <w:t>studenoga</w:t>
      </w:r>
      <w:r w:rsidRPr="00A63BA2">
        <w:rPr>
          <w:color w:val="244061" w:themeColor="accent1" w:themeShade="80"/>
          <w:sz w:val="16"/>
          <w:szCs w:val="17"/>
        </w:rPr>
        <w:t xml:space="preserve"> 202</w:t>
      </w:r>
      <w:r w:rsidR="003A27EC" w:rsidRPr="00A63BA2">
        <w:rPr>
          <w:color w:val="244061" w:themeColor="accent1" w:themeShade="80"/>
          <w:sz w:val="16"/>
          <w:szCs w:val="17"/>
        </w:rPr>
        <w:t>1</w:t>
      </w:r>
      <w:r w:rsidRPr="00A63BA2">
        <w:rPr>
          <w:color w:val="244061" w:themeColor="accent1" w:themeShade="80"/>
          <w:sz w:val="16"/>
          <w:szCs w:val="17"/>
        </w:rPr>
        <w:t>. g.</w:t>
      </w:r>
    </w:p>
  </w:footnote>
  <w:footnote w:id="7">
    <w:p w:rsidR="00791D67" w:rsidRPr="00791D67" w:rsidRDefault="00791D67" w:rsidP="003A27EC">
      <w:pPr>
        <w:pStyle w:val="FootnoteText"/>
        <w:rPr>
          <w:color w:val="244061" w:themeColor="accent1" w:themeShade="80"/>
          <w:sz w:val="16"/>
          <w:szCs w:val="17"/>
        </w:rPr>
      </w:pPr>
      <w:r w:rsidRPr="00A63BA2">
        <w:rPr>
          <w:rStyle w:val="FootnoteReference"/>
          <w:sz w:val="16"/>
          <w:szCs w:val="17"/>
        </w:rPr>
        <w:footnoteRef/>
      </w:r>
      <w:r w:rsidRPr="00A63BA2">
        <w:rPr>
          <w:rStyle w:val="FootnoteReference"/>
          <w:sz w:val="16"/>
          <w:szCs w:val="17"/>
        </w:rPr>
        <w:t xml:space="preserve"> </w:t>
      </w:r>
      <w:r w:rsidRPr="00A63BA2">
        <w:rPr>
          <w:color w:val="244061" w:themeColor="accent1" w:themeShade="80"/>
          <w:sz w:val="16"/>
          <w:szCs w:val="17"/>
        </w:rPr>
        <w:t>Društvo je osnovano 19. svibnja 2020. godine. Izvor: Sudski registar, www.sudreg.pravosudje.hr, preuzeto 29. studenoga 2021. g.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5262" w:rsidRDefault="00B15262" w:rsidP="00CA261D">
    <w:pPr>
      <w:pStyle w:val="Header"/>
    </w:pPr>
    <w:r>
      <w:rPr>
        <w:noProof/>
        <w:lang w:eastAsia="hr-HR"/>
      </w:rPr>
      <w:drawing>
        <wp:inline distT="0" distB="0" distL="0" distR="0" wp14:anchorId="2768C12F" wp14:editId="78C801D6">
          <wp:extent cx="1008000" cy="208250"/>
          <wp:effectExtent l="0" t="0" r="1905" b="1905"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8000" cy="208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992C80"/>
    <w:multiLevelType w:val="hybridMultilevel"/>
    <w:tmpl w:val="CCB85872"/>
    <w:lvl w:ilvl="0" w:tplc="A26A5134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color w:val="244061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D19"/>
    <w:rsid w:val="00003B7F"/>
    <w:rsid w:val="0001370F"/>
    <w:rsid w:val="00016B12"/>
    <w:rsid w:val="00017D45"/>
    <w:rsid w:val="00020A17"/>
    <w:rsid w:val="00026C1C"/>
    <w:rsid w:val="000327EA"/>
    <w:rsid w:val="0004222B"/>
    <w:rsid w:val="00086EFB"/>
    <w:rsid w:val="000876DF"/>
    <w:rsid w:val="000920DD"/>
    <w:rsid w:val="000A3970"/>
    <w:rsid w:val="000B0DC5"/>
    <w:rsid w:val="000B3C5A"/>
    <w:rsid w:val="000B69F1"/>
    <w:rsid w:val="000B74C1"/>
    <w:rsid w:val="000C2B7A"/>
    <w:rsid w:val="000C316B"/>
    <w:rsid w:val="000E051D"/>
    <w:rsid w:val="000E0AE7"/>
    <w:rsid w:val="000E48A7"/>
    <w:rsid w:val="000F7077"/>
    <w:rsid w:val="00111048"/>
    <w:rsid w:val="00116CD9"/>
    <w:rsid w:val="00122ECA"/>
    <w:rsid w:val="00131602"/>
    <w:rsid w:val="00133383"/>
    <w:rsid w:val="0013449D"/>
    <w:rsid w:val="00161A55"/>
    <w:rsid w:val="0016246C"/>
    <w:rsid w:val="00174924"/>
    <w:rsid w:val="00174D12"/>
    <w:rsid w:val="00181245"/>
    <w:rsid w:val="00186F8C"/>
    <w:rsid w:val="001904C0"/>
    <w:rsid w:val="001A666B"/>
    <w:rsid w:val="001B370D"/>
    <w:rsid w:val="001B5924"/>
    <w:rsid w:val="001C4021"/>
    <w:rsid w:val="001C5A8A"/>
    <w:rsid w:val="001C7662"/>
    <w:rsid w:val="001E275F"/>
    <w:rsid w:val="001F0743"/>
    <w:rsid w:val="00216A58"/>
    <w:rsid w:val="00220903"/>
    <w:rsid w:val="0022274C"/>
    <w:rsid w:val="00225037"/>
    <w:rsid w:val="002353C7"/>
    <w:rsid w:val="00252A70"/>
    <w:rsid w:val="002640E8"/>
    <w:rsid w:val="002806BB"/>
    <w:rsid w:val="002833D7"/>
    <w:rsid w:val="00290243"/>
    <w:rsid w:val="002A7609"/>
    <w:rsid w:val="002B1907"/>
    <w:rsid w:val="002B4088"/>
    <w:rsid w:val="002B7ED9"/>
    <w:rsid w:val="002D48D5"/>
    <w:rsid w:val="002E6624"/>
    <w:rsid w:val="002F3A37"/>
    <w:rsid w:val="00307965"/>
    <w:rsid w:val="0034613E"/>
    <w:rsid w:val="003578B6"/>
    <w:rsid w:val="003719CF"/>
    <w:rsid w:val="00387148"/>
    <w:rsid w:val="00387AD7"/>
    <w:rsid w:val="00387DBE"/>
    <w:rsid w:val="00392ABD"/>
    <w:rsid w:val="003A2309"/>
    <w:rsid w:val="003A27EC"/>
    <w:rsid w:val="003A4624"/>
    <w:rsid w:val="003C4A66"/>
    <w:rsid w:val="003D00FD"/>
    <w:rsid w:val="003D0D64"/>
    <w:rsid w:val="003D0FDF"/>
    <w:rsid w:val="003D2545"/>
    <w:rsid w:val="003E7E50"/>
    <w:rsid w:val="003F325B"/>
    <w:rsid w:val="003F36E4"/>
    <w:rsid w:val="003F71D3"/>
    <w:rsid w:val="004000EA"/>
    <w:rsid w:val="004222AF"/>
    <w:rsid w:val="004249AB"/>
    <w:rsid w:val="00445A03"/>
    <w:rsid w:val="004533D9"/>
    <w:rsid w:val="004556B2"/>
    <w:rsid w:val="00456853"/>
    <w:rsid w:val="00462250"/>
    <w:rsid w:val="00464666"/>
    <w:rsid w:val="0046590F"/>
    <w:rsid w:val="0046685D"/>
    <w:rsid w:val="00467C9C"/>
    <w:rsid w:val="0047546B"/>
    <w:rsid w:val="004777B5"/>
    <w:rsid w:val="00483ED4"/>
    <w:rsid w:val="004857BE"/>
    <w:rsid w:val="004A2DEF"/>
    <w:rsid w:val="004A526E"/>
    <w:rsid w:val="004C7373"/>
    <w:rsid w:val="004C794B"/>
    <w:rsid w:val="004D4A95"/>
    <w:rsid w:val="004F5BA7"/>
    <w:rsid w:val="004F6063"/>
    <w:rsid w:val="00504F1B"/>
    <w:rsid w:val="00513256"/>
    <w:rsid w:val="00514945"/>
    <w:rsid w:val="00527289"/>
    <w:rsid w:val="0053232D"/>
    <w:rsid w:val="00537806"/>
    <w:rsid w:val="00540F78"/>
    <w:rsid w:val="0054591A"/>
    <w:rsid w:val="005502C7"/>
    <w:rsid w:val="005608BF"/>
    <w:rsid w:val="0056147A"/>
    <w:rsid w:val="0057220C"/>
    <w:rsid w:val="005A2F7A"/>
    <w:rsid w:val="005A648A"/>
    <w:rsid w:val="005A73F8"/>
    <w:rsid w:val="005B25B6"/>
    <w:rsid w:val="005B2D56"/>
    <w:rsid w:val="005B3FD6"/>
    <w:rsid w:val="005C1122"/>
    <w:rsid w:val="005C41BC"/>
    <w:rsid w:val="005C4BCA"/>
    <w:rsid w:val="005C5161"/>
    <w:rsid w:val="005D024C"/>
    <w:rsid w:val="005D5162"/>
    <w:rsid w:val="005D648A"/>
    <w:rsid w:val="005E0927"/>
    <w:rsid w:val="00603283"/>
    <w:rsid w:val="006072F7"/>
    <w:rsid w:val="00610FBF"/>
    <w:rsid w:val="00612009"/>
    <w:rsid w:val="006133C3"/>
    <w:rsid w:val="00642734"/>
    <w:rsid w:val="006428CF"/>
    <w:rsid w:val="0066067F"/>
    <w:rsid w:val="00675A67"/>
    <w:rsid w:val="006767AF"/>
    <w:rsid w:val="00685925"/>
    <w:rsid w:val="00693A4F"/>
    <w:rsid w:val="00694866"/>
    <w:rsid w:val="006A3153"/>
    <w:rsid w:val="006A4860"/>
    <w:rsid w:val="006A50E9"/>
    <w:rsid w:val="006B2BEB"/>
    <w:rsid w:val="006D3D97"/>
    <w:rsid w:val="006D4A85"/>
    <w:rsid w:val="006D650C"/>
    <w:rsid w:val="006E5DAA"/>
    <w:rsid w:val="006E7911"/>
    <w:rsid w:val="006F3679"/>
    <w:rsid w:val="007056AF"/>
    <w:rsid w:val="00714DC6"/>
    <w:rsid w:val="00715956"/>
    <w:rsid w:val="0072232F"/>
    <w:rsid w:val="00737CC4"/>
    <w:rsid w:val="007542F7"/>
    <w:rsid w:val="007617FB"/>
    <w:rsid w:val="00767DBE"/>
    <w:rsid w:val="007831B8"/>
    <w:rsid w:val="00791D67"/>
    <w:rsid w:val="007972B2"/>
    <w:rsid w:val="007975E4"/>
    <w:rsid w:val="007B352D"/>
    <w:rsid w:val="007D00E2"/>
    <w:rsid w:val="007D5030"/>
    <w:rsid w:val="007F2A7D"/>
    <w:rsid w:val="00802F90"/>
    <w:rsid w:val="0080664A"/>
    <w:rsid w:val="0083645E"/>
    <w:rsid w:val="008432E2"/>
    <w:rsid w:val="00844FC1"/>
    <w:rsid w:val="008670F0"/>
    <w:rsid w:val="0086750F"/>
    <w:rsid w:val="008716E3"/>
    <w:rsid w:val="0087281F"/>
    <w:rsid w:val="00875E46"/>
    <w:rsid w:val="00882624"/>
    <w:rsid w:val="00887C96"/>
    <w:rsid w:val="0089163B"/>
    <w:rsid w:val="008A388B"/>
    <w:rsid w:val="008C2F53"/>
    <w:rsid w:val="008D310F"/>
    <w:rsid w:val="008D43A2"/>
    <w:rsid w:val="008D52E0"/>
    <w:rsid w:val="008E776A"/>
    <w:rsid w:val="008F57EA"/>
    <w:rsid w:val="00910E23"/>
    <w:rsid w:val="00913456"/>
    <w:rsid w:val="0092611E"/>
    <w:rsid w:val="009404CB"/>
    <w:rsid w:val="00942469"/>
    <w:rsid w:val="009424A9"/>
    <w:rsid w:val="0094310B"/>
    <w:rsid w:val="00952616"/>
    <w:rsid w:val="009629C6"/>
    <w:rsid w:val="009663A4"/>
    <w:rsid w:val="00970E52"/>
    <w:rsid w:val="009762F5"/>
    <w:rsid w:val="009814E6"/>
    <w:rsid w:val="00982F1D"/>
    <w:rsid w:val="00983E09"/>
    <w:rsid w:val="00984B81"/>
    <w:rsid w:val="0099695D"/>
    <w:rsid w:val="009A3DC0"/>
    <w:rsid w:val="009B0EA0"/>
    <w:rsid w:val="009B2ED8"/>
    <w:rsid w:val="009C63E5"/>
    <w:rsid w:val="009E17CA"/>
    <w:rsid w:val="009E5E44"/>
    <w:rsid w:val="009E5F78"/>
    <w:rsid w:val="009F076A"/>
    <w:rsid w:val="009F4F23"/>
    <w:rsid w:val="00A0399C"/>
    <w:rsid w:val="00A046B2"/>
    <w:rsid w:val="00A1069E"/>
    <w:rsid w:val="00A11207"/>
    <w:rsid w:val="00A12B5A"/>
    <w:rsid w:val="00A20B47"/>
    <w:rsid w:val="00A24764"/>
    <w:rsid w:val="00A31F85"/>
    <w:rsid w:val="00A3313E"/>
    <w:rsid w:val="00A359F2"/>
    <w:rsid w:val="00A35E11"/>
    <w:rsid w:val="00A410C6"/>
    <w:rsid w:val="00A44FA3"/>
    <w:rsid w:val="00A55D41"/>
    <w:rsid w:val="00A61634"/>
    <w:rsid w:val="00A63BA2"/>
    <w:rsid w:val="00A66993"/>
    <w:rsid w:val="00A72998"/>
    <w:rsid w:val="00A74C62"/>
    <w:rsid w:val="00A8335B"/>
    <w:rsid w:val="00A86ED1"/>
    <w:rsid w:val="00A877AF"/>
    <w:rsid w:val="00A90E3F"/>
    <w:rsid w:val="00A90E6E"/>
    <w:rsid w:val="00AB0DD8"/>
    <w:rsid w:val="00AC426E"/>
    <w:rsid w:val="00AC70AF"/>
    <w:rsid w:val="00AD01E9"/>
    <w:rsid w:val="00AF0BCA"/>
    <w:rsid w:val="00B02F19"/>
    <w:rsid w:val="00B11B89"/>
    <w:rsid w:val="00B1201B"/>
    <w:rsid w:val="00B150A4"/>
    <w:rsid w:val="00B15262"/>
    <w:rsid w:val="00B1691D"/>
    <w:rsid w:val="00B2189B"/>
    <w:rsid w:val="00B44330"/>
    <w:rsid w:val="00B51794"/>
    <w:rsid w:val="00B61418"/>
    <w:rsid w:val="00B62A04"/>
    <w:rsid w:val="00B825A7"/>
    <w:rsid w:val="00B836FC"/>
    <w:rsid w:val="00B9000B"/>
    <w:rsid w:val="00B96338"/>
    <w:rsid w:val="00B97995"/>
    <w:rsid w:val="00BA26B9"/>
    <w:rsid w:val="00BB586C"/>
    <w:rsid w:val="00BC2D19"/>
    <w:rsid w:val="00BC3CD8"/>
    <w:rsid w:val="00BC7669"/>
    <w:rsid w:val="00BD2525"/>
    <w:rsid w:val="00BE756A"/>
    <w:rsid w:val="00C040DF"/>
    <w:rsid w:val="00C111B9"/>
    <w:rsid w:val="00C12D93"/>
    <w:rsid w:val="00C15471"/>
    <w:rsid w:val="00C15B1E"/>
    <w:rsid w:val="00C20099"/>
    <w:rsid w:val="00C20DE4"/>
    <w:rsid w:val="00C33466"/>
    <w:rsid w:val="00C34D84"/>
    <w:rsid w:val="00C40829"/>
    <w:rsid w:val="00C443DF"/>
    <w:rsid w:val="00C5577C"/>
    <w:rsid w:val="00C603B6"/>
    <w:rsid w:val="00C85582"/>
    <w:rsid w:val="00C91379"/>
    <w:rsid w:val="00C95B4C"/>
    <w:rsid w:val="00CA261D"/>
    <w:rsid w:val="00CC18A1"/>
    <w:rsid w:val="00CC521D"/>
    <w:rsid w:val="00CC5922"/>
    <w:rsid w:val="00CD1B65"/>
    <w:rsid w:val="00CD6023"/>
    <w:rsid w:val="00CD7396"/>
    <w:rsid w:val="00CD747C"/>
    <w:rsid w:val="00CE1877"/>
    <w:rsid w:val="00CE1BFB"/>
    <w:rsid w:val="00CE3149"/>
    <w:rsid w:val="00CE5B52"/>
    <w:rsid w:val="00CF120F"/>
    <w:rsid w:val="00CF37A6"/>
    <w:rsid w:val="00D02C44"/>
    <w:rsid w:val="00D030ED"/>
    <w:rsid w:val="00D1372B"/>
    <w:rsid w:val="00D16680"/>
    <w:rsid w:val="00D224E2"/>
    <w:rsid w:val="00D26BEC"/>
    <w:rsid w:val="00D27342"/>
    <w:rsid w:val="00D30751"/>
    <w:rsid w:val="00D30E5F"/>
    <w:rsid w:val="00D37470"/>
    <w:rsid w:val="00D41D49"/>
    <w:rsid w:val="00D422F6"/>
    <w:rsid w:val="00D432D3"/>
    <w:rsid w:val="00D43F57"/>
    <w:rsid w:val="00D525B3"/>
    <w:rsid w:val="00D5363B"/>
    <w:rsid w:val="00D53A5E"/>
    <w:rsid w:val="00D83AFA"/>
    <w:rsid w:val="00D877B3"/>
    <w:rsid w:val="00D95501"/>
    <w:rsid w:val="00DA7704"/>
    <w:rsid w:val="00DB02B2"/>
    <w:rsid w:val="00DB0740"/>
    <w:rsid w:val="00DB202C"/>
    <w:rsid w:val="00DB2231"/>
    <w:rsid w:val="00DB5BB9"/>
    <w:rsid w:val="00DC6989"/>
    <w:rsid w:val="00DE1B1C"/>
    <w:rsid w:val="00DF6E16"/>
    <w:rsid w:val="00E0132F"/>
    <w:rsid w:val="00E05EA9"/>
    <w:rsid w:val="00E1424E"/>
    <w:rsid w:val="00E14D1F"/>
    <w:rsid w:val="00E1566D"/>
    <w:rsid w:val="00E16D16"/>
    <w:rsid w:val="00E243DF"/>
    <w:rsid w:val="00E43816"/>
    <w:rsid w:val="00E46652"/>
    <w:rsid w:val="00E5018E"/>
    <w:rsid w:val="00E7121C"/>
    <w:rsid w:val="00EA76A4"/>
    <w:rsid w:val="00EB2D40"/>
    <w:rsid w:val="00EB745D"/>
    <w:rsid w:val="00EC0581"/>
    <w:rsid w:val="00EC5318"/>
    <w:rsid w:val="00ED09E9"/>
    <w:rsid w:val="00ED63FD"/>
    <w:rsid w:val="00EF31FD"/>
    <w:rsid w:val="00F07B10"/>
    <w:rsid w:val="00F114D7"/>
    <w:rsid w:val="00F1455A"/>
    <w:rsid w:val="00F22447"/>
    <w:rsid w:val="00F22588"/>
    <w:rsid w:val="00F23442"/>
    <w:rsid w:val="00F24CF4"/>
    <w:rsid w:val="00F27BBC"/>
    <w:rsid w:val="00F308C9"/>
    <w:rsid w:val="00F311D7"/>
    <w:rsid w:val="00F437F4"/>
    <w:rsid w:val="00F45F12"/>
    <w:rsid w:val="00F6070B"/>
    <w:rsid w:val="00F60A5C"/>
    <w:rsid w:val="00F65998"/>
    <w:rsid w:val="00F84810"/>
    <w:rsid w:val="00F86DC4"/>
    <w:rsid w:val="00F97216"/>
    <w:rsid w:val="00FA0401"/>
    <w:rsid w:val="00FA092A"/>
    <w:rsid w:val="00FA20E2"/>
    <w:rsid w:val="00FB4EF5"/>
    <w:rsid w:val="00FB596D"/>
    <w:rsid w:val="00FC6E3B"/>
    <w:rsid w:val="00FD44FE"/>
    <w:rsid w:val="00FD7614"/>
    <w:rsid w:val="00FE0A23"/>
    <w:rsid w:val="00FF3784"/>
    <w:rsid w:val="00FF4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3AFA"/>
    <w:pPr>
      <w:spacing w:line="276" w:lineRule="auto"/>
      <w:jc w:val="both"/>
    </w:pPr>
    <w:rPr>
      <w:rFonts w:ascii="Arial" w:hAnsi="Arial"/>
      <w:color w:val="1F497D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rsid w:val="00BC2D19"/>
    <w:pPr>
      <w:spacing w:line="240" w:lineRule="auto"/>
    </w:pPr>
    <w:rPr>
      <w:szCs w:val="20"/>
    </w:rPr>
  </w:style>
  <w:style w:type="character" w:customStyle="1" w:styleId="FootnoteTextChar">
    <w:name w:val="Footnote Text Char"/>
    <w:link w:val="FootnoteText"/>
    <w:uiPriority w:val="99"/>
    <w:locked/>
    <w:rsid w:val="00BC2D19"/>
    <w:rPr>
      <w:rFonts w:ascii="Arial" w:hAnsi="Arial" w:cs="Times New Roman"/>
      <w:color w:val="1F497D"/>
      <w:sz w:val="20"/>
      <w:szCs w:val="20"/>
    </w:rPr>
  </w:style>
  <w:style w:type="character" w:styleId="FootnoteReference">
    <w:name w:val="footnote reference"/>
    <w:uiPriority w:val="99"/>
    <w:semiHidden/>
    <w:rsid w:val="00BC2D19"/>
    <w:rPr>
      <w:rFonts w:cs="Times New Roman"/>
      <w:vertAlign w:val="superscript"/>
    </w:rPr>
  </w:style>
  <w:style w:type="character" w:styleId="Hyperlink">
    <w:name w:val="Hyperlink"/>
    <w:uiPriority w:val="99"/>
    <w:rsid w:val="00BC2D1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BC2D1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BC2D19"/>
    <w:rPr>
      <w:rFonts w:ascii="Tahoma" w:hAnsi="Tahoma" w:cs="Tahoma"/>
      <w:color w:val="1F497D"/>
      <w:sz w:val="16"/>
      <w:szCs w:val="16"/>
    </w:rPr>
  </w:style>
  <w:style w:type="paragraph" w:styleId="Header">
    <w:name w:val="header"/>
    <w:basedOn w:val="Normal"/>
    <w:link w:val="HeaderChar"/>
    <w:uiPriority w:val="99"/>
    <w:rsid w:val="00C111B9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link w:val="Header"/>
    <w:uiPriority w:val="99"/>
    <w:locked/>
    <w:rsid w:val="00C111B9"/>
    <w:rPr>
      <w:rFonts w:ascii="Arial" w:hAnsi="Arial" w:cs="Times New Roman"/>
      <w:color w:val="1F497D"/>
      <w:sz w:val="20"/>
    </w:rPr>
  </w:style>
  <w:style w:type="paragraph" w:styleId="Footer">
    <w:name w:val="footer"/>
    <w:basedOn w:val="Normal"/>
    <w:link w:val="FooterChar"/>
    <w:uiPriority w:val="99"/>
    <w:rsid w:val="00C111B9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link w:val="Footer"/>
    <w:uiPriority w:val="99"/>
    <w:locked/>
    <w:rsid w:val="00C111B9"/>
    <w:rPr>
      <w:rFonts w:ascii="Arial" w:hAnsi="Arial" w:cs="Times New Roman"/>
      <w:color w:val="1F497D"/>
      <w:sz w:val="20"/>
    </w:rPr>
  </w:style>
  <w:style w:type="table" w:styleId="TableGrid">
    <w:name w:val="Table Grid"/>
    <w:basedOn w:val="TableNormal"/>
    <w:uiPriority w:val="99"/>
    <w:rsid w:val="00F86D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uiPriority w:val="99"/>
    <w:semiHidden/>
    <w:rsid w:val="00AC426E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C426E"/>
    <w:pPr>
      <w:spacing w:line="240" w:lineRule="auto"/>
    </w:pPr>
    <w:rPr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AC426E"/>
    <w:rPr>
      <w:rFonts w:ascii="Arial" w:hAnsi="Arial" w:cs="Times New Roman"/>
      <w:color w:val="1F497D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C426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AC426E"/>
    <w:rPr>
      <w:rFonts w:ascii="Arial" w:hAnsi="Arial" w:cs="Times New Roman"/>
      <w:b/>
      <w:bCs/>
      <w:color w:val="1F497D"/>
      <w:sz w:val="20"/>
      <w:szCs w:val="20"/>
    </w:rPr>
  </w:style>
  <w:style w:type="table" w:styleId="ColorfulGrid-Accent1">
    <w:name w:val="Colorful Grid Accent 1"/>
    <w:basedOn w:val="TableNormal"/>
    <w:uiPriority w:val="73"/>
    <w:rsid w:val="00FA0401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LightShading-Accent1">
    <w:name w:val="Light Shading Accent 1"/>
    <w:basedOn w:val="TableNormal"/>
    <w:uiPriority w:val="60"/>
    <w:rsid w:val="008670F0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fmt-zeropad8">
    <w:name w:val="fmt-zeropad8"/>
    <w:basedOn w:val="DefaultParagraphFont"/>
    <w:rsid w:val="006A3153"/>
  </w:style>
  <w:style w:type="character" w:customStyle="1" w:styleId="fmt-integer">
    <w:name w:val="fmt-integer"/>
    <w:basedOn w:val="DefaultParagraphFont"/>
    <w:rsid w:val="00B2189B"/>
  </w:style>
  <w:style w:type="character" w:styleId="FollowedHyperlink">
    <w:name w:val="FollowedHyperlink"/>
    <w:basedOn w:val="DefaultParagraphFont"/>
    <w:uiPriority w:val="99"/>
    <w:semiHidden/>
    <w:unhideWhenUsed/>
    <w:rsid w:val="00E0132F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C41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3AFA"/>
    <w:pPr>
      <w:spacing w:line="276" w:lineRule="auto"/>
      <w:jc w:val="both"/>
    </w:pPr>
    <w:rPr>
      <w:rFonts w:ascii="Arial" w:hAnsi="Arial"/>
      <w:color w:val="1F497D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rsid w:val="00BC2D19"/>
    <w:pPr>
      <w:spacing w:line="240" w:lineRule="auto"/>
    </w:pPr>
    <w:rPr>
      <w:szCs w:val="20"/>
    </w:rPr>
  </w:style>
  <w:style w:type="character" w:customStyle="1" w:styleId="FootnoteTextChar">
    <w:name w:val="Footnote Text Char"/>
    <w:link w:val="FootnoteText"/>
    <w:uiPriority w:val="99"/>
    <w:locked/>
    <w:rsid w:val="00BC2D19"/>
    <w:rPr>
      <w:rFonts w:ascii="Arial" w:hAnsi="Arial" w:cs="Times New Roman"/>
      <w:color w:val="1F497D"/>
      <w:sz w:val="20"/>
      <w:szCs w:val="20"/>
    </w:rPr>
  </w:style>
  <w:style w:type="character" w:styleId="FootnoteReference">
    <w:name w:val="footnote reference"/>
    <w:uiPriority w:val="99"/>
    <w:semiHidden/>
    <w:rsid w:val="00BC2D19"/>
    <w:rPr>
      <w:rFonts w:cs="Times New Roman"/>
      <w:vertAlign w:val="superscript"/>
    </w:rPr>
  </w:style>
  <w:style w:type="character" w:styleId="Hyperlink">
    <w:name w:val="Hyperlink"/>
    <w:uiPriority w:val="99"/>
    <w:rsid w:val="00BC2D1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BC2D1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BC2D19"/>
    <w:rPr>
      <w:rFonts w:ascii="Tahoma" w:hAnsi="Tahoma" w:cs="Tahoma"/>
      <w:color w:val="1F497D"/>
      <w:sz w:val="16"/>
      <w:szCs w:val="16"/>
    </w:rPr>
  </w:style>
  <w:style w:type="paragraph" w:styleId="Header">
    <w:name w:val="header"/>
    <w:basedOn w:val="Normal"/>
    <w:link w:val="HeaderChar"/>
    <w:uiPriority w:val="99"/>
    <w:rsid w:val="00C111B9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link w:val="Header"/>
    <w:uiPriority w:val="99"/>
    <w:locked/>
    <w:rsid w:val="00C111B9"/>
    <w:rPr>
      <w:rFonts w:ascii="Arial" w:hAnsi="Arial" w:cs="Times New Roman"/>
      <w:color w:val="1F497D"/>
      <w:sz w:val="20"/>
    </w:rPr>
  </w:style>
  <w:style w:type="paragraph" w:styleId="Footer">
    <w:name w:val="footer"/>
    <w:basedOn w:val="Normal"/>
    <w:link w:val="FooterChar"/>
    <w:uiPriority w:val="99"/>
    <w:rsid w:val="00C111B9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link w:val="Footer"/>
    <w:uiPriority w:val="99"/>
    <w:locked/>
    <w:rsid w:val="00C111B9"/>
    <w:rPr>
      <w:rFonts w:ascii="Arial" w:hAnsi="Arial" w:cs="Times New Roman"/>
      <w:color w:val="1F497D"/>
      <w:sz w:val="20"/>
    </w:rPr>
  </w:style>
  <w:style w:type="table" w:styleId="TableGrid">
    <w:name w:val="Table Grid"/>
    <w:basedOn w:val="TableNormal"/>
    <w:uiPriority w:val="99"/>
    <w:rsid w:val="00F86D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uiPriority w:val="99"/>
    <w:semiHidden/>
    <w:rsid w:val="00AC426E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C426E"/>
    <w:pPr>
      <w:spacing w:line="240" w:lineRule="auto"/>
    </w:pPr>
    <w:rPr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AC426E"/>
    <w:rPr>
      <w:rFonts w:ascii="Arial" w:hAnsi="Arial" w:cs="Times New Roman"/>
      <w:color w:val="1F497D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C426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AC426E"/>
    <w:rPr>
      <w:rFonts w:ascii="Arial" w:hAnsi="Arial" w:cs="Times New Roman"/>
      <w:b/>
      <w:bCs/>
      <w:color w:val="1F497D"/>
      <w:sz w:val="20"/>
      <w:szCs w:val="20"/>
    </w:rPr>
  </w:style>
  <w:style w:type="table" w:styleId="ColorfulGrid-Accent1">
    <w:name w:val="Colorful Grid Accent 1"/>
    <w:basedOn w:val="TableNormal"/>
    <w:uiPriority w:val="73"/>
    <w:rsid w:val="00FA0401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LightShading-Accent1">
    <w:name w:val="Light Shading Accent 1"/>
    <w:basedOn w:val="TableNormal"/>
    <w:uiPriority w:val="60"/>
    <w:rsid w:val="008670F0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fmt-zeropad8">
    <w:name w:val="fmt-zeropad8"/>
    <w:basedOn w:val="DefaultParagraphFont"/>
    <w:rsid w:val="006A3153"/>
  </w:style>
  <w:style w:type="character" w:customStyle="1" w:styleId="fmt-integer">
    <w:name w:val="fmt-integer"/>
    <w:basedOn w:val="DefaultParagraphFont"/>
    <w:rsid w:val="00B2189B"/>
  </w:style>
  <w:style w:type="character" w:styleId="FollowedHyperlink">
    <w:name w:val="FollowedHyperlink"/>
    <w:basedOn w:val="DefaultParagraphFont"/>
    <w:uiPriority w:val="99"/>
    <w:semiHidden/>
    <w:unhideWhenUsed/>
    <w:rsid w:val="00E0132F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C41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2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2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2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82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820838">
                  <w:marLeft w:val="5"/>
                  <w:marRight w:val="5"/>
                  <w:marTop w:val="5"/>
                  <w:marBottom w:val="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582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2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2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2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2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fina.hr/Default.aspx?sec=1538" TargetMode="External"/><Relationship Id="rId18" Type="http://schemas.openxmlformats.org/officeDocument/2006/relationships/hyperlink" Target="mailto:info@fina.hr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www.fina.hr/Default.aspx?art=8958&amp;sec=1275" TargetMode="External"/><Relationship Id="rId17" Type="http://schemas.openxmlformats.org/officeDocument/2006/relationships/hyperlink" Target="mailto:prodaja@fina.hr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fina.hr/info.biz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rgfi.fina.hr/JavnaObjava-web/jsp/prijavaKorisnika.jsp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fina.hr/Default.aspx?sec=972" TargetMode="External"/><Relationship Id="rId10" Type="http://schemas.openxmlformats.org/officeDocument/2006/relationships/hyperlink" Target="https://www.fina.hr/info.biz" TargetMode="External"/><Relationship Id="rId19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jrr.fina.hr/jrir/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3C96AE-B3FC-4FE4-B371-7C9C37601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1090</Words>
  <Characters>6213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POSLOVANJE PODUZETNIKA U DJELATNOSTI TRGOVINE NA MALO IGRAMA I IGRAČKAMA U SPECIJALIZIRANIM PRODAVAONICAMA U RAZDOBLJU OD 2010</vt:lpstr>
      <vt:lpstr>POSLOVANJE PODUZETNIKA U DJELATNOSTI TRGOVINE NA MALO IGRAMA I IGRAČKAMA U SPECIJALIZIRANIM PRODAVAONICAMA U RAZDOBLJU OD 2010</vt:lpstr>
    </vt:vector>
  </TitlesOfParts>
  <Company/>
  <LinksUpToDate>false</LinksUpToDate>
  <CharactersWithSpaces>7289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POSLOVANJE PODUZETNIKA U DJELATNOSTI TRGOVINE NA MALO IGRAMA I IGRAČKAMA U SPECIJALIZIRANIM PRODAVAONICAMA U RAZDOBLJU OD 2010</dc:title>
  <dc:creator>Ivona Škara</dc:creator>
  <cp:lastModifiedBy>Željka Foriš Car</cp:lastModifiedBy>
  <cp:revision>2</cp:revision>
  <cp:lastPrinted>2015-11-19T14:30:00Z</cp:lastPrinted>
  <dcterms:created xsi:type="dcterms:W3CDTF">2021-12-02T11:47:00Z</dcterms:created>
  <dcterms:modified xsi:type="dcterms:W3CDTF">2021-12-02T11:47:00Z</dcterms:modified>
</cp:coreProperties>
</file>