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03" w:rsidRPr="00D0511A" w:rsidRDefault="00F47876" w:rsidP="0080401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:rsidR="009866FC" w:rsidRPr="00320B89" w:rsidRDefault="00F07458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7D1DFD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FA54CA"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D0511A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:rsidR="00A34FD0" w:rsidRPr="006149D4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highlight w:val="green"/>
          <w:lang w:eastAsia="hr-HR"/>
        </w:rPr>
      </w:pP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djelatnosti proizvodnje vina od grožđa (NKD 11.02)</w:t>
      </w:r>
      <w:r w:rsidR="0050700F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posloval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254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922DF6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1.223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Pr="00267F4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</w:t>
      </w:r>
      <w:r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godinu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broja zaposlenih za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2,1</w:t>
      </w:r>
      <w:r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D6143B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Promatrana skupina poduzetnika ostvarila je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529,1</w:t>
      </w:r>
      <w:r w:rsidR="00D6143B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ukupnih prihoda,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580,3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ukupnih rashoda, dobit razdoblja od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21,8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gubitak razdoblja od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75,2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te </w:t>
      </w:r>
      <w:r w:rsidR="00A0095A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negativan konsolidirani financijski rezultat u iznosu od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53,5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</w:t>
      </w:r>
      <w:r w:rsidR="007732C4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Zabilježeno je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 za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21,1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ukupnih rashoda za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14,8%, 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dobiti razdoblja za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</w:t>
      </w:r>
      <w:r w:rsidR="00250EC1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te </w:t>
      </w:r>
      <w:r w:rsidR="00432733" w:rsidRPr="00DF26C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gubitka razdoblja za </w:t>
      </w:r>
      <w:r w:rsidR="00432733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35,1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što je rezultiralo </w:t>
      </w:r>
      <w:r w:rsidR="00432733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gotovo pet puta većem</w:t>
      </w:r>
      <w:r w:rsidR="007732C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gubitk</w:t>
      </w:r>
      <w:r w:rsidR="00432733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u odnosu na 2019. godinu. 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</w:t>
      </w:r>
      <w:r w:rsidR="00B54C4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 od gro</w:t>
      </w:r>
      <w:r w:rsidR="004C0260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žđa</w:t>
      </w:r>
      <w:r w:rsidR="00B54C4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260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F716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51,6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poduzetnika poslovalo je s dobiti, dok je </w:t>
      </w:r>
      <w:r w:rsidR="002F716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48,4</w:t>
      </w:r>
      <w:r w:rsidR="00250EC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iskazalo gubitak razdoblja.</w:t>
      </w:r>
      <w:r w:rsidR="00446FD5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B6E6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A34FD0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87530B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NKD 11.02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najviše je poduzetnika </w:t>
      </w:r>
      <w:r w:rsidR="000B6E6A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sedam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jadranskih županija (</w:t>
      </w:r>
      <w:r w:rsidR="002F7161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146</w:t>
      </w:r>
      <w:r w:rsidR="00056A12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),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a manj</w:t>
      </w:r>
      <w:r w:rsidR="00056A12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e</w:t>
      </w:r>
      <w:r w:rsidR="00B84F5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u 1</w:t>
      </w:r>
      <w:r w:rsidR="000B6E6A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kontinentalnih županija (</w:t>
      </w:r>
      <w:r w:rsidR="002F7161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108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). U Istarskoj županiji ih je </w:t>
      </w:r>
      <w:r w:rsidR="005C7108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42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Splitsko-dalmatinskoj </w:t>
      </w:r>
      <w:r w:rsidR="002F7161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40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a u Dubrovačko-neretvanskoj </w:t>
      </w:r>
      <w:r w:rsidR="002F7161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39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A34FD0" w:rsidRPr="00F4685F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A0095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grožđa </w:t>
      </w:r>
      <w:r w:rsidR="00A0095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(NKD 01.21)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poslovalo je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119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koji su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868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="00006E3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Spomenuti poduzetnici 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su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negativan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(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42,7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A29E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odnosu na 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prethodno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razdoblje kada su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7454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28,3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="00EE3A0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u djelatnosti, s dobitkom je poslovalo njih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63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 Ukupn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promatrane djelatnosti iznosi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 su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354,3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</w:t>
      </w:r>
      <w:r w:rsidR="00D60ACE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F75BC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18,7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godinu.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DF75BC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smanjeni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za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dobit razdoblja za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61,9</w:t>
      </w:r>
      <w:r w:rsidR="00F1327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16,3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dok je gubitak razdoblja </w:t>
      </w:r>
      <w:r w:rsidR="006149D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(59,1 milijun kuna) četiri puta veći u odnosu na 2019. godinu</w:t>
      </w:r>
      <w:r w:rsidR="00E423E1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84537">
        <w:rPr>
          <w:rFonts w:ascii="Arial" w:hAnsi="Arial" w:cs="Arial"/>
          <w:color w:val="104160"/>
          <w:sz w:val="20"/>
          <w:szCs w:val="20"/>
          <w:lang w:eastAsia="hr-HR"/>
        </w:rPr>
        <w:t>Također, najviše poduzetnika u djelatnosti uzgoja grožđa ima u šest jadranskih županija (77), dok ih 13 kontinentalnih županija</w:t>
      </w:r>
      <w:r w:rsidR="00F84537">
        <w:rPr>
          <w:rFonts w:ascii="Arial" w:hAnsi="Arial" w:cs="Arial"/>
          <w:color w:val="104160"/>
          <w:sz w:val="20"/>
          <w:szCs w:val="20"/>
          <w:lang w:eastAsia="hr-HR"/>
        </w:rPr>
        <w:t xml:space="preserve"> </w:t>
      </w:r>
      <w:r w:rsidR="00F84537">
        <w:rPr>
          <w:rFonts w:ascii="Arial" w:hAnsi="Arial" w:cs="Arial"/>
          <w:color w:val="104160"/>
          <w:sz w:val="20"/>
          <w:szCs w:val="20"/>
          <w:lang w:eastAsia="hr-HR"/>
        </w:rPr>
        <w:t>ima 42.</w:t>
      </w:r>
      <w:r w:rsidR="00F84537">
        <w:rPr>
          <w:rFonts w:ascii="Arial" w:hAnsi="Arial" w:cs="Arial"/>
          <w:color w:val="104160"/>
          <w:sz w:val="20"/>
          <w:szCs w:val="20"/>
          <w:lang w:eastAsia="hr-HR"/>
        </w:rPr>
        <w:t xml:space="preserve"> 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U </w:t>
      </w:r>
      <w:r w:rsidR="00DF0B7C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Istarskoj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županiji ih je </w:t>
      </w:r>
      <w:r w:rsidR="00DF0B7C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20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</w:t>
      </w:r>
      <w:r w:rsidR="00DF0B7C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Splitsko-dalmatinskoj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 </w:t>
      </w:r>
      <w:r w:rsidR="00DF0B7C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18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 xml:space="preserve">, a u Dubrovačko-neretvanskoj </w:t>
      </w:r>
      <w:r w:rsidR="00DF0B7C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13</w:t>
      </w:r>
      <w:r w:rsidR="00A34FD0" w:rsidRPr="00B54C4D">
        <w:rPr>
          <w:rFonts w:ascii="Arial" w:eastAsia="Times New Roman" w:hAnsi="Arial" w:cs="Arial"/>
          <w:color w:val="244061"/>
          <w:sz w:val="20"/>
          <w:szCs w:val="20"/>
          <w:lang w:eastAsia="hr-HR"/>
        </w:rPr>
        <w:t>.</w:t>
      </w:r>
    </w:p>
    <w:p w:rsidR="00987411" w:rsidRPr="00F73818" w:rsidRDefault="009974B7" w:rsidP="00804011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</w:t>
      </w:r>
      <w:r w:rsidR="00A379DA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</w:t>
      </w:r>
      <w:r w:rsidR="00CE0302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98741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  <w:r w:rsidR="00987411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9974B7" w:rsidRDefault="00987411" w:rsidP="007357B2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5"/>
        <w:gridCol w:w="993"/>
        <w:gridCol w:w="992"/>
        <w:gridCol w:w="850"/>
        <w:gridCol w:w="851"/>
        <w:gridCol w:w="850"/>
        <w:gridCol w:w="770"/>
      </w:tblGrid>
      <w:tr w:rsidR="00CE0302" w:rsidRPr="00CE0302" w:rsidTr="009B4A53">
        <w:trPr>
          <w:trHeight w:hRule="exact" w:val="519"/>
          <w:jc w:val="center"/>
        </w:trPr>
        <w:tc>
          <w:tcPr>
            <w:tcW w:w="45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Opis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NKD 01.21 Uzgoj grožđa</w:t>
            </w:r>
          </w:p>
        </w:tc>
        <w:tc>
          <w:tcPr>
            <w:tcW w:w="247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NKD 11.02 Proizvodnja </w:t>
            </w: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br/>
              <w:t>vina od grožđa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2020.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2019.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2020.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Indeks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poduzetnika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dobitaša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85,6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gubitaša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138,2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zaposlenih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1.223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97,9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prihodi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435.931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354.300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670.535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529.114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78,9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rashodi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403.469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395.360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681.324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580.292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85,2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46.984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18.003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44.920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24.066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53,6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14.522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59.064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55.709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75.243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135,1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Porez na dobit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2.298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483,1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42.802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44.445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21.768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49,0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14.525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59.065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55.709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75.243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135,1</w:t>
            </w:r>
          </w:p>
        </w:tc>
      </w:tr>
      <w:tr w:rsidR="00CE0302" w:rsidRPr="00CE0302" w:rsidTr="009B4A53">
        <w:trPr>
          <w:trHeight w:hRule="exact" w:val="492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28.277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-42.738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-11.264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-53.476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474,7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Izvoz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19.389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16.175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27.022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25.912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95,9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12.272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11.596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14.091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91,4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Trgovinski saldo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7.117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11.604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11.822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101,9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29.460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8.464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28,7</w:t>
            </w:r>
          </w:p>
        </w:tc>
      </w:tr>
      <w:tr w:rsidR="00CE0302" w:rsidRPr="00CE0302" w:rsidTr="009B4A53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Prosječna mjesečna neto plaća po zaposlenom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5.228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99,6</w:t>
            </w:r>
          </w:p>
        </w:tc>
      </w:tr>
    </w:tbl>
    <w:p w:rsidR="009974B7" w:rsidRPr="00D952EE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financijskih izvještaja </w:t>
      </w:r>
    </w:p>
    <w:p w:rsidR="00446FD5" w:rsidRPr="00446FD5" w:rsidRDefault="00446FD5" w:rsidP="000018C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zaposlenih kod poduzetnika u proizvodnji vina od grožđa u 20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5.228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0,4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manje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prethodnu godinu te za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12,4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od prosječne mjesečne neto plaće zaposlenih kod poduzetnika na</w:t>
      </w:r>
      <w:r w:rsidR="002C58E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razini RH (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5.971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A62D2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 U djelatnosti uzgoja grožđa obračuna</w:t>
      </w:r>
      <w:r w:rsidR="00F8453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je prosječna mjesečna neto plaća u iznosu od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5.088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1,3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201</w:t>
      </w:r>
      <w:r w:rsidR="00CA2B7A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P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446FD5" w:rsidRDefault="005F7EF7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U </w:t>
      </w:r>
      <w:r w:rsidR="003C4C07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</w:t>
      </w:r>
      <w:r w:rsidR="00FC35F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 je pozitivan trgovinski saldo od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11,8</w:t>
      </w:r>
      <w:r w:rsidR="00FC35F4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je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8,6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 i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4,1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 djelatnosti uzgoja grožđa izvoz je </w:t>
      </w:r>
      <w:r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16,6%, 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5,5%, a trgovinski suficit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35,7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E402F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201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E402F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="00AB691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7A4C6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investicija u djelatnosti proizvodnje vina od grožđa </w:t>
      </w:r>
      <w:r w:rsidR="0039410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71,3</w:t>
      </w:r>
      <w:r w:rsidR="00796DD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</w:t>
      </w:r>
      <w:r w:rsidR="0039410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</w:t>
      </w:r>
      <w:r w:rsidR="00796DD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nosti uzgoja grožđa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</w:t>
      </w:r>
      <w:r w:rsidR="0039410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5A2458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2,9</w:t>
      </w:r>
      <w:r w:rsidR="0039410D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3941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AE435F" w:rsidRPr="009C29BB" w:rsidRDefault="00FB4815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20</w:t>
      </w:r>
      <w:r w:rsidR="00761FD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pravnih i fizičkih osoba (obr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ta), obveznika poreza na dobit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 grožđa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</w:t>
      </w:r>
      <w:r w:rsidR="00761FD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veći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761FD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61FD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kao i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djelatn</w:t>
      </w:r>
      <w:r w:rsidR="004A5A0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osti proizvodnje vina od grožđa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obje spomenute djelatnosti bio je veći 20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godine. 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u djelatnosti NKD 01.21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ostvareno je 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27,1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9384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ih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prihoda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</w:t>
      </w:r>
      <w:r w:rsidR="00493844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NKD 11.02 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manje</w:t>
      </w:r>
      <w:r w:rsidR="00E135C1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1007E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149,1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 kuna.</w:t>
      </w:r>
    </w:p>
    <w:p w:rsidR="003C556D" w:rsidRDefault="003C556D" w:rsidP="003C556D">
      <w:pPr>
        <w:tabs>
          <w:tab w:val="left" w:pos="993"/>
        </w:tabs>
        <w:spacing w:before="180" w:after="0"/>
        <w:ind w:left="993" w:hanging="993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Broj poduzetnika i zaposlenih, ukup</w:t>
      </w:r>
      <w:r w:rsidR="005A612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ni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prihod</w:t>
      </w:r>
      <w:r w:rsidR="005A612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neto dobit/gubitak i prosječna mjesečna plaća u djelatnosti NKD 01.21 i 11.02 u 20</w:t>
      </w:r>
      <w:r w:rsidR="005A612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10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i 20</w:t>
      </w:r>
      <w:r w:rsidR="005A612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    </w:t>
      </w:r>
      <w:r w:rsidRPr="00A07564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1020"/>
        <w:gridCol w:w="1176"/>
        <w:gridCol w:w="993"/>
        <w:gridCol w:w="941"/>
        <w:gridCol w:w="1214"/>
        <w:gridCol w:w="941"/>
        <w:gridCol w:w="1233"/>
        <w:gridCol w:w="1566"/>
      </w:tblGrid>
      <w:tr w:rsidR="005A612D" w:rsidRPr="005A612D" w:rsidTr="00346A35">
        <w:trPr>
          <w:trHeight w:hRule="exact" w:val="852"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Godina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Djelatnost</w:t>
            </w:r>
          </w:p>
        </w:tc>
        <w:tc>
          <w:tcPr>
            <w:tcW w:w="117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 xml:space="preserve">Broj poduzetnika </w:t>
            </w:r>
          </w:p>
        </w:tc>
        <w:tc>
          <w:tcPr>
            <w:tcW w:w="98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Broj zaposlenih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Ukupni prihodi</w:t>
            </w:r>
          </w:p>
        </w:tc>
        <w:tc>
          <w:tcPr>
            <w:tcW w:w="121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Prihod po poduzetniku</w:t>
            </w:r>
          </w:p>
        </w:tc>
        <w:tc>
          <w:tcPr>
            <w:tcW w:w="94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Prihod po zaposl.</w:t>
            </w:r>
          </w:p>
        </w:tc>
        <w:tc>
          <w:tcPr>
            <w:tcW w:w="12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Neto dobit/gubitak</w:t>
            </w:r>
          </w:p>
        </w:tc>
        <w:tc>
          <w:tcPr>
            <w:tcW w:w="156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Prosječna mjeseč. neto plaća po zaposlenom</w:t>
            </w:r>
          </w:p>
        </w:tc>
      </w:tr>
      <w:tr w:rsidR="005A612D" w:rsidRPr="005A612D" w:rsidTr="005A612D">
        <w:trPr>
          <w:trHeight w:hRule="exact" w:val="301"/>
          <w:jc w:val="center"/>
        </w:trPr>
        <w:tc>
          <w:tcPr>
            <w:tcW w:w="7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2010.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NKD 01.21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974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327.189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3.087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-18.398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3.642</w:t>
            </w:r>
          </w:p>
        </w:tc>
      </w:tr>
      <w:tr w:rsidR="005A612D" w:rsidRPr="005A612D" w:rsidTr="005A612D">
        <w:trPr>
          <w:trHeight w:hRule="exact" w:val="301"/>
          <w:jc w:val="center"/>
        </w:trPr>
        <w:tc>
          <w:tcPr>
            <w:tcW w:w="738" w:type="dxa"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2020.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FFFFFF"/>
              <w:bottom w:val="double" w:sz="6" w:space="0" w:color="FFFFFF"/>
              <w:right w:val="single" w:sz="4" w:space="0" w:color="FFFFFF"/>
            </w:tcBorders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119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868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354.300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2.977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408</w:t>
            </w:r>
          </w:p>
        </w:tc>
        <w:tc>
          <w:tcPr>
            <w:tcW w:w="1234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-42.738</w:t>
            </w: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FFFFFF"/>
              <w:right w:val="single" w:sz="4" w:space="0" w:color="FFFFFF"/>
            </w:tcBorders>
            <w:shd w:val="clear" w:color="000000" w:fill="DBE5F1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5.088</w:t>
            </w:r>
          </w:p>
        </w:tc>
      </w:tr>
      <w:tr w:rsidR="005A612D" w:rsidRPr="005A612D" w:rsidTr="005A612D">
        <w:trPr>
          <w:trHeight w:hRule="exact" w:val="301"/>
          <w:jc w:val="center"/>
        </w:trPr>
        <w:tc>
          <w:tcPr>
            <w:tcW w:w="7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2010.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NKD 11.02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1.780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678.257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4.462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381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-132.385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4.405</w:t>
            </w:r>
          </w:p>
        </w:tc>
      </w:tr>
      <w:tr w:rsidR="005A612D" w:rsidRPr="005A612D" w:rsidTr="005A612D">
        <w:trPr>
          <w:trHeight w:hRule="exact" w:val="301"/>
          <w:jc w:val="center"/>
        </w:trPr>
        <w:tc>
          <w:tcPr>
            <w:tcW w:w="7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  <w:r w:rsidRPr="005A612D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  <w:t>2020.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529.114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2.083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-53.476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5A612D" w:rsidRPr="005A612D" w:rsidRDefault="005A612D" w:rsidP="005A61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5A612D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5.228</w:t>
            </w:r>
          </w:p>
        </w:tc>
      </w:tr>
    </w:tbl>
    <w:p w:rsidR="003C556D" w:rsidRPr="00A030D4" w:rsidRDefault="003C556D" w:rsidP="003C556D">
      <w:pPr>
        <w:spacing w:before="60" w:after="0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A030D4">
        <w:rPr>
          <w:rFonts w:ascii="Arial" w:hAnsi="Arial" w:cs="Arial"/>
          <w:i/>
          <w:color w:val="17365D"/>
          <w:sz w:val="16"/>
          <w:szCs w:val="16"/>
        </w:rPr>
        <w:t xml:space="preserve">Izvor: Fina, Registar godišnjih financijskih izvještaja </w:t>
      </w:r>
    </w:p>
    <w:p w:rsidR="006A0B93" w:rsidRPr="009C29BB" w:rsidRDefault="00FB4815" w:rsidP="00AE435F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rosječna mjesečna neto plaća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obračuna</w:t>
      </w:r>
      <w:r w:rsidR="00F8453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u djelatnosti NKD 01.21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u 20</w:t>
      </w:r>
      <w:r w:rsidR="00CA2B7A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bila je za </w:t>
      </w:r>
      <w:r w:rsidR="00CA2B7A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39,7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 u odnosu na 20</w:t>
      </w:r>
      <w:r w:rsidR="00CA2B7A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godinu, dok je u djelatnosti NKD 11.02 bila veća za </w:t>
      </w:r>
      <w:r w:rsidR="00CA2B7A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18,7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</w:p>
    <w:p w:rsidR="003C556D" w:rsidRDefault="00761C31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uzgoja grožđa u 20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iskazan je neto 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42,7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što je 2,3 puta više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odnosu na ostvaren neto gubitak u 20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(18,4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41721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Negativnom rezultatu u 2020. godini, u djelatnosti NKD 01.21, najviše je doprinio mikro poduzetnik iz Starog Topolja, AGROEKONOMIJA d.o.o. u stečaju, koji je ostvario gubitak razdoblja u iznosu od 35,6 milijuna kuna, a nad kojim je stečajni postupak otvoren </w:t>
      </w:r>
      <w:hyperlink r:id="rId8" w:history="1">
        <w:r w:rsidR="0041721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rješenjem Trgovačkog suda u </w:t>
        </w:r>
        <w:r w:rsidR="00A219F6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Osijeku</w:t>
        </w:r>
        <w:r w:rsidR="0041721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, od </w:t>
        </w:r>
        <w:r w:rsidR="00A219F6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1</w:t>
        </w:r>
        <w:r w:rsidR="0041721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. </w:t>
        </w:r>
        <w:r w:rsidR="00A219F6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srpnja</w:t>
        </w:r>
        <w:r w:rsidR="0041721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201</w:t>
        </w:r>
        <w:r w:rsidR="00A219F6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6</w:t>
        </w:r>
        <w:r w:rsidR="0041721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. godine.</w:t>
        </w:r>
      </w:hyperlink>
      <w:r w:rsidR="0041721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527BB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2020. godini, u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proizvodnje vina od grožđa iskazan je </w:t>
      </w:r>
      <w:r w:rsidR="008527BB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2,5 puta </w:t>
      </w:r>
      <w:r w:rsidR="00A219F6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manji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gubitak 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A219F6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53,5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="006A0B93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no što je bio 20</w:t>
      </w:r>
      <w:r w:rsidR="00A219F6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 (</w:t>
      </w:r>
      <w:r w:rsidR="00A219F6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132,4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A219F6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 Negativnom 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rezultatu u 20</w:t>
      </w:r>
      <w:r w:rsidR="00EB01A5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u djelatnosti NKD 11.02, 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najviše je doprinio 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srednje veliki poduzetnik iz Splita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DALMACIJAVINO d.d.</w:t>
      </w:r>
      <w:r w:rsidR="002C698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stečaju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koji je ostvario 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="00AE435F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razdoblja u iznosu od 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A14A2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0858A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A14A2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2C6989" w:rsidRPr="00FB6BE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a nad kojim je stečajni postupak otvoren </w:t>
      </w:r>
      <w:hyperlink r:id="rId9" w:history="1">
        <w:r w:rsidR="002C698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rješenjem Trgovačkog suda u Splitu, od </w:t>
        </w:r>
        <w:r w:rsidR="00EB01A5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17</w:t>
        </w:r>
        <w:r w:rsidR="002C698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. </w:t>
        </w:r>
        <w:r w:rsidR="00EB01A5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svibnja</w:t>
        </w:r>
        <w:r w:rsidR="002C6989" w:rsidRPr="00FB6BE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2012. godine.</w:t>
        </w:r>
      </w:hyperlink>
    </w:p>
    <w:p w:rsidR="002B318B" w:rsidRPr="00A07564" w:rsidRDefault="00320B89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3</w:t>
      </w:r>
      <w:r w:rsidR="0042558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</w:t>
      </w:r>
      <w:r w:rsidR="00AC1AB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AC1AB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AC1AB1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7D2E68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:rsidR="0050628F" w:rsidRDefault="002B318B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A07564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A07564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A07564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325"/>
        <w:gridCol w:w="3115"/>
        <w:gridCol w:w="1087"/>
        <w:gridCol w:w="978"/>
        <w:gridCol w:w="978"/>
        <w:gridCol w:w="978"/>
        <w:gridCol w:w="978"/>
      </w:tblGrid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R. br.</w:t>
            </w:r>
          </w:p>
        </w:tc>
        <w:tc>
          <w:tcPr>
            <w:tcW w:w="13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1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11.02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84196188473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AGROLAGUNA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111.720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92.313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16,7%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17,4%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72212121406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ĐAKOVAČKA VINA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Mandićevac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39.208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40.909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5,8%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7,7%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47074146147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VINOPLOD-VINARIJA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Šibenik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41.014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19.240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3,6%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46934345825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ZLATAN OTOK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Hvar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23.460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18.245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3,5%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3,4%</w:t>
            </w:r>
          </w:p>
        </w:tc>
      </w:tr>
      <w:tr w:rsidR="00AC1AB1" w:rsidRPr="00AC1AB1" w:rsidTr="00AC1AB1">
        <w:trPr>
          <w:trHeight w:hRule="exact" w:val="46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38051863635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POLJOPRIVREDNA ZADRUGA VRBNIK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Vrbnik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19.719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16.209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2,9%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3,1%</w:t>
            </w:r>
          </w:p>
        </w:tc>
      </w:tr>
      <w:tr w:rsidR="00AC1AB1" w:rsidRPr="00AC1AB1" w:rsidTr="00AC1AB1">
        <w:trPr>
          <w:trHeight w:hRule="exact" w:val="301"/>
          <w:jc w:val="center"/>
        </w:trPr>
        <w:tc>
          <w:tcPr>
            <w:tcW w:w="590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11.02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235.121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186.916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35,1%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AC1AB1" w:rsidRPr="00AC1AB1" w:rsidRDefault="00AC1AB1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35,3%</w:t>
            </w:r>
          </w:p>
        </w:tc>
      </w:tr>
    </w:tbl>
    <w:p w:rsidR="00816525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011B5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AE435F" w:rsidRPr="009C29BB" w:rsidRDefault="002D5E2C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ne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djelatnosti proizvodnje vina od grožđa, u 20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ostvarilo je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društvo 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AGROLAGUNA d.d. iz Poreča 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92,3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Društvo je zaposlenima, njih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234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obračunalo prosječnu mjesečnu neto plaću u iznosu od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6.170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Društvo je iskazalo negativan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poslovanja u 20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iznosu od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31,4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kuna, što je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2,5</w:t>
      </w:r>
      <w:r w:rsidR="00C840D2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puta više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ostvaren neto gubitak od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12,8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 201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AE435F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B0EAA" w:rsidRPr="001F3564" w:rsidRDefault="005B0EAA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Kod poduzetnika čija je pretežita djelatnost uzgoj grožđa, u 20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F8453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G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odini</w:t>
      </w:r>
      <w:r w:rsidR="00F845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ILOČKI PODRUMI d.d. ostvarilo je najveće prihode</w:t>
      </w:r>
      <w:r w:rsidR="00E00169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62,1 milijun kuna </w:t>
      </w:r>
      <w:r w:rsidR="00E00169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17,5</w:t>
      </w:r>
      <w:r w:rsidR="00E00169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ukupnih prihoda razreda djelatnosti)</w:t>
      </w:r>
      <w:r w:rsidR="00471E21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Promatrano društvo 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zapošljavalo</w:t>
      </w:r>
      <w:r w:rsidR="00471E21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225</w:t>
      </w:r>
      <w:r w:rsidR="0078666E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845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radnika kojima je obračunan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 prosječna mjesečna neto plaća u iznosu 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od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5.038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A5791D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D5987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ILOČKI PODRUMI d.d. o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stvar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ili su i najveću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 razdoblja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2,9 milijuna kuna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koja je za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77</w:t>
      </w:r>
      <w:r w:rsidR="00A5791D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 w:rsidR="0078666E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prethodno poslovno razdoblje</w:t>
      </w:r>
      <w:r w:rsidR="0078666E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2A247C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1,6</w:t>
      </w:r>
      <w:r w:rsidR="0078666E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1F3564" w:rsidRPr="00FB6B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B0EAA" w:rsidRPr="00A07564" w:rsidRDefault="005B0EAA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320B89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Rang lista TOP pet poduzetnika po ukupn</w:t>
      </w:r>
      <w:r w:rsidR="00005A9A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005A9A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005A9A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godini, u djelat</w:t>
      </w:r>
      <w:r w:rsidR="007D2E68" w:rsidRPr="00A07564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:rsidR="005B0EAA" w:rsidRDefault="005B0EAA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A07564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A07564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Ind w:w="1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78"/>
        <w:gridCol w:w="2847"/>
        <w:gridCol w:w="1130"/>
        <w:gridCol w:w="1016"/>
        <w:gridCol w:w="1016"/>
        <w:gridCol w:w="1016"/>
        <w:gridCol w:w="1016"/>
      </w:tblGrid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R. br.</w:t>
            </w:r>
          </w:p>
        </w:tc>
        <w:tc>
          <w:tcPr>
            <w:tcW w:w="13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2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13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01.21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2019.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38793818363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ILOČKI PODRUMI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67.036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62.136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15,4%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17,5%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00307094055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ERDUTSKI VINOGRADI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33.545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40.488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7,7%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11,4%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19388962847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BLATO1902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38.545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30.203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8,8%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8,5%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01523004193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DALMACIJAVINO SPLIT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Drniš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33.964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24.953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7,8%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7,0%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71056397163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POLJODJELSKI OBRT IVAN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10.434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18.209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2,4%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5,1%</w:t>
            </w:r>
          </w:p>
        </w:tc>
      </w:tr>
      <w:tr w:rsidR="00005A9A" w:rsidRPr="00005A9A" w:rsidTr="00BB76C8">
        <w:trPr>
          <w:trHeight w:hRule="exact" w:val="301"/>
          <w:jc w:val="center"/>
        </w:trPr>
        <w:tc>
          <w:tcPr>
            <w:tcW w:w="57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01.21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183.523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175.989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42,1%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005A9A" w:rsidRPr="00005A9A" w:rsidRDefault="00005A9A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49,7%</w:t>
            </w:r>
          </w:p>
        </w:tc>
      </w:tr>
    </w:tbl>
    <w:p w:rsidR="006C4DC9" w:rsidRPr="009C29BB" w:rsidRDefault="006C4DC9" w:rsidP="007766A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7766AD">
        <w:rPr>
          <w:rFonts w:ascii="Arial" w:hAnsi="Arial" w:cs="Arial"/>
          <w:i/>
          <w:color w:val="17365D"/>
          <w:sz w:val="16"/>
          <w:szCs w:val="16"/>
        </w:rPr>
        <w:t>Izvor</w:t>
      </w:r>
      <w:r w:rsidRPr="009C29BB">
        <w:rPr>
          <w:rFonts w:ascii="Arial" w:hAnsi="Arial" w:cs="Arial"/>
          <w:i/>
          <w:color w:val="17365D"/>
          <w:sz w:val="16"/>
          <w:szCs w:val="16"/>
        </w:rPr>
        <w:t>: Fina, Registar god</w:t>
      </w:r>
      <w:r w:rsidR="00EE5B9F" w:rsidRPr="009C29BB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:rsidR="00E7276F" w:rsidRDefault="00DD1130" w:rsidP="000018C9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dobit razdoblja u 20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3F0247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proizvodnje vina od grožđa </w:t>
      </w:r>
      <w:r w:rsidR="003F568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</w:t>
      </w: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mikro</w:t>
      </w:r>
      <w:r w:rsidR="003F568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</w:t>
      </w: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VINOGRADAR d.d. u stečaju</w:t>
      </w:r>
      <w:r w:rsidR="004D285D" w:rsidRPr="00AB46FA">
        <w:rPr>
          <w:rStyle w:val="FootnoteReference"/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footnoteReference w:id="1"/>
      </w:r>
      <w:r w:rsidR="00F845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</w:t>
      </w:r>
      <w:bookmarkStart w:id="0" w:name="_GoBack"/>
      <w:bookmarkEnd w:id="0"/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Visa</w:t>
      </w: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3,6</w:t>
      </w:r>
      <w:r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201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</w:t>
      </w:r>
      <w:r w:rsidR="009D6FEB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3F568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ostvarili su gubitak od </w:t>
      </w:r>
      <w:r w:rsidR="00E81411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419 tisuća</w:t>
      </w:r>
      <w:r w:rsidR="003F0247" w:rsidRPr="00AB46F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:rsidR="006366A0" w:rsidRPr="00A07564" w:rsidRDefault="006366A0" w:rsidP="006366A0">
      <w:pPr>
        <w:pBdr>
          <w:top w:val="single" w:sz="12" w:space="1" w:color="auto"/>
        </w:pBd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10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1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:rsidR="006366A0" w:rsidRPr="00D92D41" w:rsidRDefault="006366A0" w:rsidP="006366A0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2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4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6366A0" w:rsidRPr="0005521E" w:rsidTr="00CE0302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6366A0" w:rsidRPr="00D92D41" w:rsidRDefault="00D44320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5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6366A0" w:rsidRPr="00D92D41" w:rsidRDefault="006366A0" w:rsidP="00CE0302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7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437CB948" wp14:editId="22DCE01E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9"/>
      <w:footerReference w:type="default" r:id="rId20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20" w:rsidRDefault="00D44320" w:rsidP="009866FC">
      <w:pPr>
        <w:spacing w:after="0" w:line="240" w:lineRule="auto"/>
      </w:pPr>
      <w:r>
        <w:separator/>
      </w:r>
    </w:p>
  </w:endnote>
  <w:endnote w:type="continuationSeparator" w:id="0">
    <w:p w:rsidR="00D44320" w:rsidRDefault="00D44320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F84537">
          <w:rPr>
            <w:rFonts w:ascii="Arial" w:hAnsi="Arial" w:cs="Arial"/>
            <w:noProof/>
            <w:sz w:val="18"/>
            <w:szCs w:val="18"/>
          </w:rPr>
          <w:t>3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20" w:rsidRDefault="00D44320" w:rsidP="009866FC">
      <w:pPr>
        <w:spacing w:after="0" w:line="240" w:lineRule="auto"/>
      </w:pPr>
      <w:r>
        <w:separator/>
      </w:r>
    </w:p>
  </w:footnote>
  <w:footnote w:type="continuationSeparator" w:id="0">
    <w:p w:rsidR="00D44320" w:rsidRDefault="00D44320" w:rsidP="009866FC">
      <w:pPr>
        <w:spacing w:after="0" w:line="240" w:lineRule="auto"/>
      </w:pPr>
      <w:r>
        <w:continuationSeparator/>
      </w:r>
    </w:p>
  </w:footnote>
  <w:footnote w:id="1">
    <w:p w:rsidR="004D285D" w:rsidRPr="00AB46FA" w:rsidRDefault="004D285D" w:rsidP="002A625F">
      <w:pPr>
        <w:pStyle w:val="FootnoteText"/>
        <w:spacing w:after="0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</w:pPr>
      <w:r w:rsidRPr="004D285D">
        <w:rPr>
          <w:rStyle w:val="FootnoteReference"/>
          <w:sz w:val="16"/>
        </w:rPr>
        <w:footnoteRef/>
      </w:r>
      <w:r w:rsidRPr="004D285D">
        <w:rPr>
          <w:sz w:val="16"/>
        </w:rPr>
        <w:t xml:space="preserve"> </w:t>
      </w:r>
      <w:r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Trgovački sud u </w:t>
      </w:r>
      <w:r w:rsidR="006C79AF"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>Splitu</w:t>
      </w:r>
      <w:r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 rješenjem broj </w:t>
      </w:r>
      <w:r w:rsidR="006C79AF"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XVI-St-11/01 od 8. veljače 2002. godine otvorio je stečajni postupak nad dužnikom VINOGRADAR, poljoprivredna proizvodnja, d.d., Vis, Dubrovačka Ulica 6 te je rješenjem broj St-11/2001-99 od 28. prosinca 2020. godine zaključen stečajni postupak. </w:t>
      </w:r>
      <w:r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 </w:t>
      </w:r>
      <w:r w:rsidR="006C79AF"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Društvo je 20. siječnja 2021. godine promijenilo naziv iz VINOGRADAR, d.d., u stečaju u VINOGRADAR d.o.o. u stečaju, a 28. siječnja 2021. u VINOGRADAR d.o.o.. </w:t>
      </w:r>
      <w:r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 xml:space="preserve">Izvor: Sudski registar, preuzeto </w:t>
      </w:r>
      <w:r w:rsidR="006C79AF"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>10</w:t>
      </w:r>
      <w:r w:rsidRPr="00AB46FA">
        <w:rPr>
          <w:rFonts w:ascii="Arial" w:eastAsia="Times New Roman" w:hAnsi="Arial" w:cs="Arial"/>
          <w:color w:val="244061" w:themeColor="accent1" w:themeShade="80"/>
          <w:sz w:val="16"/>
          <w:szCs w:val="16"/>
          <w:shd w:val="clear" w:color="auto" w:fill="FFFFFF" w:themeFill="background1"/>
          <w:lang w:eastAsia="hr-HR"/>
        </w:rPr>
        <w:t>. studenoga 2021.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302" w:rsidRDefault="00CE030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3DF0182E" wp14:editId="3EDC6278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4355"/>
    <w:rsid w:val="00034CC0"/>
    <w:rsid w:val="00037A33"/>
    <w:rsid w:val="00037D91"/>
    <w:rsid w:val="000503FA"/>
    <w:rsid w:val="00050DC3"/>
    <w:rsid w:val="00051A03"/>
    <w:rsid w:val="00051C0B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6BE9"/>
    <w:rsid w:val="000E7078"/>
    <w:rsid w:val="000E77AE"/>
    <w:rsid w:val="000E781C"/>
    <w:rsid w:val="000E7849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EE1"/>
    <w:rsid w:val="002F68CF"/>
    <w:rsid w:val="002F7161"/>
    <w:rsid w:val="002F7D2E"/>
    <w:rsid w:val="00302D04"/>
    <w:rsid w:val="003046F6"/>
    <w:rsid w:val="003052B8"/>
    <w:rsid w:val="00310B63"/>
    <w:rsid w:val="00320B89"/>
    <w:rsid w:val="00323FE2"/>
    <w:rsid w:val="00327A1C"/>
    <w:rsid w:val="003315AC"/>
    <w:rsid w:val="003319C6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AE1"/>
    <w:rsid w:val="00432733"/>
    <w:rsid w:val="00432AC1"/>
    <w:rsid w:val="00433507"/>
    <w:rsid w:val="00437847"/>
    <w:rsid w:val="004405EC"/>
    <w:rsid w:val="00446FD5"/>
    <w:rsid w:val="00452A08"/>
    <w:rsid w:val="004575EE"/>
    <w:rsid w:val="00457A73"/>
    <w:rsid w:val="004617E9"/>
    <w:rsid w:val="00464118"/>
    <w:rsid w:val="00471663"/>
    <w:rsid w:val="00471E21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74A9"/>
    <w:rsid w:val="00647F54"/>
    <w:rsid w:val="00651226"/>
    <w:rsid w:val="00653562"/>
    <w:rsid w:val="00656D74"/>
    <w:rsid w:val="00661525"/>
    <w:rsid w:val="00664F36"/>
    <w:rsid w:val="006670A6"/>
    <w:rsid w:val="00671DE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57B2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409D1"/>
    <w:rsid w:val="0084117A"/>
    <w:rsid w:val="00841364"/>
    <w:rsid w:val="008504F8"/>
    <w:rsid w:val="008527BB"/>
    <w:rsid w:val="008535CD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4DD4"/>
    <w:rsid w:val="00981B31"/>
    <w:rsid w:val="0098278D"/>
    <w:rsid w:val="009866FC"/>
    <w:rsid w:val="00987411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C9F"/>
    <w:rsid w:val="009E2F32"/>
    <w:rsid w:val="009E45FB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300E2"/>
    <w:rsid w:val="00B3420F"/>
    <w:rsid w:val="00B42B08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0D2"/>
    <w:rsid w:val="00C84B9B"/>
    <w:rsid w:val="00C84EFC"/>
    <w:rsid w:val="00C93E4D"/>
    <w:rsid w:val="00C94890"/>
    <w:rsid w:val="00CA2B7A"/>
    <w:rsid w:val="00CA769B"/>
    <w:rsid w:val="00CA7790"/>
    <w:rsid w:val="00CB2159"/>
    <w:rsid w:val="00CB3BF8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4320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77B0"/>
    <w:rsid w:val="00E5785B"/>
    <w:rsid w:val="00E70007"/>
    <w:rsid w:val="00E70CD7"/>
    <w:rsid w:val="00E7276F"/>
    <w:rsid w:val="00E752E6"/>
    <w:rsid w:val="00E75D5A"/>
    <w:rsid w:val="00E81411"/>
    <w:rsid w:val="00E82B50"/>
    <w:rsid w:val="00E85F47"/>
    <w:rsid w:val="00E87F6F"/>
    <w:rsid w:val="00E94E67"/>
    <w:rsid w:val="00EA4333"/>
    <w:rsid w:val="00EA4ABA"/>
    <w:rsid w:val="00EB01A5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537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E6CF2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reg.pravosudje.hr/registar/f?p=150:28:0::NO::P28_SBT_MBS:050039391" TargetMode="External"/><Relationship Id="rId13" Type="http://schemas.openxmlformats.org/officeDocument/2006/relationships/hyperlink" Target="https://jrr.fina.hr/jrir/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sec=1538" TargetMode="External"/><Relationship Id="rId17" Type="http://schemas.openxmlformats.org/officeDocument/2006/relationships/hyperlink" Target="mailto:info@fina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daja@fina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art=8958&amp;sec=1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.hr/info.biz" TargetMode="External"/><Relationship Id="rId10" Type="http://schemas.openxmlformats.org/officeDocument/2006/relationships/hyperlink" Target="http://rgfi.fina.hr/JavnaObjava-web/jsp/prijavaKorisnika.js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dreg.pravosudje.hr/registar/f?p=150:28:0::NO:28:P28_SBT_MBS:060186431" TargetMode="External"/><Relationship Id="rId14" Type="http://schemas.openxmlformats.org/officeDocument/2006/relationships/hyperlink" Target="http://www.fina.hr/Default.aspx?sec=97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A6323-EF65-40D1-AC70-376AA742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10983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2</cp:revision>
  <cp:lastPrinted>2014-09-19T12:19:00Z</cp:lastPrinted>
  <dcterms:created xsi:type="dcterms:W3CDTF">2021-11-11T13:33:00Z</dcterms:created>
  <dcterms:modified xsi:type="dcterms:W3CDTF">2021-11-11T13:33:00Z</dcterms:modified>
</cp:coreProperties>
</file>