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84" w:rsidRPr="006D3908" w:rsidRDefault="00B27C4C" w:rsidP="007B5184">
      <w:pPr>
        <w:keepNext/>
        <w:tabs>
          <w:tab w:val="left" w:pos="0"/>
        </w:tabs>
        <w:spacing w:after="18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</w:pPr>
      <w:bookmarkStart w:id="0" w:name="_Toc436912535"/>
      <w:bookmarkStart w:id="1" w:name="_Toc452702033"/>
      <w:bookmarkStart w:id="2" w:name="_Toc15462552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USPOREDBA REZULTATA POSLOVANJA PODUZETNIKA 10 NAJVEĆIH GRADOVA PREMA KRITERIJU NETO DOBITI </w:t>
      </w:r>
      <w:r w:rsidR="004A2A3D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PODUZETNIKA 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U 20</w:t>
      </w:r>
      <w:r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20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.</w:t>
      </w:r>
      <w:bookmarkEnd w:id="0"/>
      <w:bookmarkEnd w:id="1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GODINI</w:t>
      </w:r>
      <w:bookmarkEnd w:id="2"/>
    </w:p>
    <w:p w:rsidR="007B5184" w:rsidRPr="00404E1D" w:rsidRDefault="00291DD5" w:rsidP="00AD7DD7">
      <w:pPr>
        <w:jc w:val="both"/>
        <w:rPr>
          <w:rFonts w:ascii="Arial" w:eastAsia="Times New Roman" w:hAnsi="Arial" w:cs="Times New Roman"/>
          <w:color w:val="0F243E" w:themeColor="text2" w:themeShade="80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</w:t>
      </w:r>
      <w:r w:rsidR="007B5184"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rema kriteriju konsolidirane 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(neto) </w:t>
      </w:r>
      <w:r w:rsidR="007B5184"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dobiti u 20</w:t>
      </w:r>
      <w:r w:rsidR="003C694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20</w:t>
      </w:r>
      <w:r w:rsidR="007B5184"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 godini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 najbolji su</w:t>
      </w:r>
      <w:r w:rsidR="007B5184"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poduzetnici u sljedećim gradovima:</w:t>
      </w:r>
      <w:r w:rsidR="00404E1D" w:rsidRPr="00404E1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Zagreb, Osijek, Varaždin, Karlovac, Sveta Nedelja, Rijeka, Čakovec, Solin, Vukovar i </w:t>
      </w:r>
      <w:r w:rsidR="00404E1D" w:rsidRPr="00404E1D">
        <w:rPr>
          <w:rFonts w:ascii="Arial" w:eastAsia="Times New Roman" w:hAnsi="Arial" w:cs="Times New Roman"/>
          <w:color w:val="0F243E" w:themeColor="text2" w:themeShade="80"/>
          <w:sz w:val="20"/>
          <w:szCs w:val="20"/>
          <w:lang w:eastAsia="hr-HR"/>
        </w:rPr>
        <w:t>Kutina.</w:t>
      </w:r>
    </w:p>
    <w:p w:rsidR="007B5184" w:rsidRPr="00677B68" w:rsidRDefault="007B5184" w:rsidP="00B30DC8">
      <w:pPr>
        <w:widowControl w:val="0"/>
        <w:tabs>
          <w:tab w:val="left" w:pos="1134"/>
          <w:tab w:val="left" w:pos="8080"/>
        </w:tabs>
        <w:spacing w:before="120" w:after="80" w:line="240" w:lineRule="auto"/>
        <w:ind w:left="1134" w:hanging="1134"/>
        <w:rPr>
          <w:rFonts w:ascii="Arial" w:eastAsia="Times New Roman" w:hAnsi="Arial" w:cs="Times New Roman"/>
          <w:i/>
          <w:color w:val="17365D"/>
          <w:sz w:val="20"/>
          <w:szCs w:val="20"/>
          <w:lang w:eastAsia="hr-HR"/>
        </w:rPr>
      </w:pPr>
      <w:r w:rsidRPr="00404E1D">
        <w:rPr>
          <w:rFonts w:ascii="Arial" w:eastAsia="Times New Roman" w:hAnsi="Arial" w:cs="Times New Roman"/>
          <w:b/>
          <w:color w:val="0F243E" w:themeColor="text2" w:themeShade="80"/>
          <w:sz w:val="18"/>
          <w:szCs w:val="18"/>
          <w:lang w:eastAsia="hr-HR"/>
        </w:rPr>
        <w:t>Tablica 1</w:t>
      </w:r>
      <w:r w:rsidRPr="003C6946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>.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Rezultati poduzetnika u 10 gradova prema </w:t>
      </w:r>
      <w:r w:rsidR="00677B6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NETO DOBITI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- usporedba s rezultatima svih poduzetnika RH u 20</w:t>
      </w:r>
      <w:r w:rsidR="003C6946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20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 godini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="009E00EC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    </w:t>
      </w:r>
      <w:r w:rsidRPr="00677B68">
        <w:rPr>
          <w:rFonts w:ascii="Arial" w:eastAsia="Times New Roman" w:hAnsi="Arial" w:cs="Arial"/>
          <w:bCs/>
          <w:i/>
          <w:color w:val="17365D"/>
          <w:sz w:val="16"/>
          <w:szCs w:val="16"/>
          <w:lang w:eastAsia="hr-HR"/>
        </w:rPr>
        <w:t>(iznosi u tisućama kuna)</w:t>
      </w:r>
    </w:p>
    <w:tbl>
      <w:tblPr>
        <w:tblW w:w="10206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03"/>
        <w:gridCol w:w="810"/>
        <w:gridCol w:w="520"/>
        <w:gridCol w:w="1162"/>
        <w:gridCol w:w="523"/>
        <w:gridCol w:w="1104"/>
        <w:gridCol w:w="520"/>
        <w:gridCol w:w="1039"/>
        <w:gridCol w:w="523"/>
        <w:gridCol w:w="1104"/>
        <w:gridCol w:w="523"/>
        <w:gridCol w:w="755"/>
        <w:gridCol w:w="520"/>
      </w:tblGrid>
      <w:tr w:rsidR="00516CF5" w:rsidRPr="006D3908" w:rsidTr="00121D1E">
        <w:trPr>
          <w:jc w:val="center"/>
        </w:trPr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15614A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Naziv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7966F5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 xml:space="preserve">Broj </w:t>
            </w:r>
          </w:p>
          <w:p w:rsidR="00516CF5" w:rsidRPr="0015614A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poduz.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7966F5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966F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 u RH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7966F5" w:rsidRDefault="00516CF5" w:rsidP="00F7570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Ukup</w:t>
            </w:r>
            <w:r w:rsidR="00F7570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ni</w:t>
            </w: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 xml:space="preserve"> </w:t>
            </w:r>
          </w:p>
          <w:p w:rsidR="00516CF5" w:rsidRPr="0015614A" w:rsidRDefault="00516CF5" w:rsidP="00F7570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prihod</w:t>
            </w:r>
            <w:r w:rsidR="00F7570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i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7966F5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966F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 u RH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7966F5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 xml:space="preserve">Dobit </w:t>
            </w:r>
          </w:p>
          <w:p w:rsidR="00516CF5" w:rsidRPr="0015614A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razdoblja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7966F5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966F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 u RH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15614A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Gubitak razdoblja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7966F5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966F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 u RH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15614A" w:rsidRDefault="00404E1D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Neto dobit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7966F5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966F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 u RH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15614A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Broj zaposl.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7966F5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966F5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  <w:t>Rang u RH</w:t>
            </w:r>
          </w:p>
        </w:tc>
      </w:tr>
      <w:tr w:rsidR="00FF1241" w:rsidRPr="006D3908" w:rsidTr="00121D1E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FF1241" w:rsidRPr="00C1714B" w:rsidRDefault="00FF1241" w:rsidP="00516CF5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C1714B">
              <w:rPr>
                <w:rFonts w:ascii="Arial" w:hAnsi="Arial" w:cs="Arial"/>
                <w:b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FF124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color w:val="16365C"/>
                <w:sz w:val="18"/>
                <w:szCs w:val="18"/>
              </w:rPr>
              <w:t>46.347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F1241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FF124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color w:val="16365C"/>
                <w:sz w:val="18"/>
                <w:szCs w:val="18"/>
              </w:rPr>
              <w:t>394.168.965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F1241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FF124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color w:val="16365C"/>
                <w:sz w:val="18"/>
                <w:szCs w:val="18"/>
              </w:rPr>
              <w:t>23.669.087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F1241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FF124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color w:val="16365C"/>
                <w:sz w:val="18"/>
                <w:szCs w:val="18"/>
              </w:rPr>
              <w:t>11.478.328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8521CD" w:rsidRDefault="00404E1D" w:rsidP="00FF1241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12.190.759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8521CD" w:rsidRDefault="00404E1D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FF124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color w:val="16365C"/>
                <w:sz w:val="18"/>
                <w:szCs w:val="18"/>
              </w:rPr>
              <w:t>369.080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404E1D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  <w:hideMark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Osijek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3.294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15.331.125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985.236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315.587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12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669.649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22.323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  <w:hideMark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Varaždin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2.176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14.876.418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707.384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135.730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571.653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21.003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1.286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14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7.302.716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595.406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85.991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509.415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10.564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12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Sv. Nedelja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927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18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11.773.904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570.642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80.572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32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490.070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9.989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13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5.071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19.453.066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1.185.947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696.300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489.647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29.590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Čakovec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1.423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12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7.900.471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519.068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42.953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56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476.116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12.391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Solin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832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23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4.906.676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18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496.399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58.239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41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438.161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6.746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20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Vukovar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613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29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12.961.685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516.284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112.085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26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404.199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8521CD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5.337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23</w:t>
            </w:r>
          </w:p>
        </w:tc>
      </w:tr>
      <w:tr w:rsidR="00B74385" w:rsidRPr="006D3908" w:rsidTr="00EF6989">
        <w:trPr>
          <w:jc w:val="center"/>
        </w:trPr>
        <w:tc>
          <w:tcPr>
            <w:tcW w:w="110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bottom"/>
          </w:tcPr>
          <w:p w:rsidR="00B74385" w:rsidRPr="00404E1D" w:rsidRDefault="00B74385" w:rsidP="00404E1D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404E1D">
              <w:rPr>
                <w:rFonts w:ascii="Arial" w:hAnsi="Arial" w:cs="Arial"/>
                <w:b/>
                <w:color w:val="16365C"/>
                <w:sz w:val="18"/>
                <w:szCs w:val="18"/>
              </w:rPr>
              <w:t>Kutina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396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44</w:t>
            </w:r>
          </w:p>
        </w:tc>
        <w:tc>
          <w:tcPr>
            <w:tcW w:w="116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3.788.773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23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360.432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17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7.097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177</w:t>
            </w:r>
          </w:p>
        </w:tc>
        <w:tc>
          <w:tcPr>
            <w:tcW w:w="110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12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8521CD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8521CD">
              <w:rPr>
                <w:rFonts w:ascii="Arial" w:hAnsi="Arial" w:cs="Arial"/>
                <w:b/>
                <w:color w:val="16365C"/>
                <w:sz w:val="18"/>
                <w:szCs w:val="18"/>
              </w:rPr>
              <w:t>353.335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FFFFFF" w:themeColor="background1"/>
              <w:right w:val="single" w:sz="12" w:space="0" w:color="BFBFBF" w:themeColor="background1" w:themeShade="BF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8521CD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12" w:space="0" w:color="BFBFBF" w:themeColor="background1" w:themeShade="BF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6.693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B74385" w:rsidRPr="00B74385" w:rsidRDefault="00B74385" w:rsidP="007966F5">
            <w:pPr>
              <w:spacing w:after="0" w:line="240" w:lineRule="auto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B74385">
              <w:rPr>
                <w:rFonts w:ascii="Arial" w:hAnsi="Arial" w:cs="Arial"/>
                <w:color w:val="16365C"/>
                <w:sz w:val="18"/>
                <w:szCs w:val="18"/>
              </w:rPr>
              <w:t>21</w:t>
            </w:r>
          </w:p>
        </w:tc>
      </w:tr>
      <w:tr w:rsidR="00B74385" w:rsidRPr="006D3908" w:rsidTr="002F6A65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  <w:hideMark/>
          </w:tcPr>
          <w:p w:rsidR="00B74385" w:rsidRPr="00516CF5" w:rsidRDefault="00B74385" w:rsidP="00516C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10 gradova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B74385" w:rsidRPr="00FF1241" w:rsidRDefault="00B74385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62.365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467.288.522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29.605.886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13.012.882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16.593.004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493.716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</w:tr>
      <w:tr w:rsidR="00B74385" w:rsidRPr="006D3908" w:rsidTr="005B53F4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B74385" w:rsidRPr="00516CF5" w:rsidRDefault="00B74385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B74385" w:rsidRPr="00516CF5" w:rsidRDefault="00B74385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139.009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743.841.185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45.922.062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24.951.973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20.970.089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B7438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947.874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:rsidR="00B74385" w:rsidRPr="00B74385" w:rsidRDefault="00B74385" w:rsidP="00B743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</w:tr>
      <w:tr w:rsidR="0015614A" w:rsidRPr="006D3908" w:rsidTr="00542A82">
        <w:trPr>
          <w:jc w:val="center"/>
        </w:trPr>
        <w:tc>
          <w:tcPr>
            <w:tcW w:w="1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15614A" w:rsidRPr="00516CF5" w:rsidRDefault="0015614A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Udjeli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15614A" w:rsidRPr="00516CF5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44,9</w:t>
            </w:r>
            <w:r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1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62,8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64,5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52,2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1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79,1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15614A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52,1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</w:tcPr>
          <w:p w:rsidR="0015614A" w:rsidRPr="0015614A" w:rsidRDefault="0015614A" w:rsidP="00796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</w:tr>
    </w:tbl>
    <w:p w:rsidR="007B5184" w:rsidRPr="006D3908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="004860D9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, </w:t>
      </w:r>
      <w:r w:rsidR="004860D9" w:rsidRPr="004860D9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2020. godinu</w:t>
      </w:r>
    </w:p>
    <w:p w:rsidR="007B5184" w:rsidRPr="008521CD" w:rsidRDefault="007B5184" w:rsidP="00E81DE5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6180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Analiza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podataka po gradovima potvrđuje veliku koncentraciju poslovanja poduzetnika, obveznika poreza na dobit</w:t>
      </w:r>
      <w:r w:rsidR="00291DD5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na 10 najvećih gradova koji su od ukupnog poduzetništva u 20</w:t>
      </w:r>
      <w:r w:rsidR="003C694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20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. godini imali 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44,9</w:t>
      </w:r>
      <w:r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broja poduzetnika, </w:t>
      </w:r>
      <w:r w:rsidR="00876B9D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</w:t>
      </w:r>
      <w:r w:rsidR="00876B9D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</w:t>
      </w:r>
      <w:r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broja zaposlenih, 62,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8</w:t>
      </w:r>
      <w:r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ukupnih prihoda, 6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4,5</w:t>
      </w:r>
      <w:r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dobiti razdoblja, </w:t>
      </w:r>
      <w:r w:rsidR="00876B9D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2,2</w:t>
      </w:r>
      <w:r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gubitka razdoblja te </w:t>
      </w:r>
      <w:r w:rsidR="00876B9D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</w:t>
      </w:r>
      <w:r w:rsidR="0015614A"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9,1</w:t>
      </w:r>
      <w:r w:rsidRPr="0015614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neto dobiti.</w:t>
      </w:r>
      <w:r w:rsidRPr="003C6946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Tome je tako</w:t>
      </w:r>
      <w:bookmarkStart w:id="3" w:name="_GoBack"/>
      <w:r w:rsidR="009E2C0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bookmarkEnd w:id="3"/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</w:t>
      </w:r>
      <w:r w:rsidR="0084012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onajprije</w:t>
      </w:r>
      <w:r w:rsidR="009E2C0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zbog udjela poduzetnika sa sjedištem u Zagrebu koji su, očekivan</w:t>
      </w:r>
      <w:r w:rsidR="00E35AFE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o, ostvarili najveću neto dobit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iznosu od </w:t>
      </w:r>
      <w:r w:rsidR="00876B9D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</w:t>
      </w:r>
      <w:r w:rsidR="0015614A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2,2</w:t>
      </w:r>
      <w:r w:rsidR="00876B9D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milijard</w:t>
      </w:r>
      <w:r w:rsidR="00277BD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e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kuna (udio od </w:t>
      </w:r>
      <w:r w:rsidR="00F7570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73,5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u neto dobiti poduzetnika sa sjedištem u jednom od 10 sp</w:t>
      </w:r>
      <w:r w:rsidR="00876B9D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omenutih gradova). Iza Zagreba, prema iskazanom 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konsolidiranom financijskom rezultatu (</w:t>
      </w:r>
      <w:r w:rsidR="00876B9D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ostvarenoj 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neto dobiti), su </w:t>
      </w:r>
      <w:r w:rsidR="00876B9D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gradovi </w:t>
      </w:r>
      <w:r w:rsidR="008521CD"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Osijek i Varaždin</w:t>
      </w:r>
      <w:r w:rsidRPr="008521C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C1714B" w:rsidRPr="001E6EB7" w:rsidRDefault="007B5184" w:rsidP="00B15A72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Dobrim rezultatima na razini </w:t>
      </w:r>
      <w:r w:rsidR="006328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Zagreba najviše je </w:t>
      </w:r>
      <w:r w:rsidR="00876B9D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pr</w:t>
      </w:r>
      <w:r w:rsidR="006328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ido</w:t>
      </w:r>
      <w:r w:rsidR="00876B9D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nijela HRVATSKA ELEKTROPRIVREDA d.d., na razini </w:t>
      </w:r>
      <w:r w:rsidR="00AD7DD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Osijeka</w:t>
      </w:r>
      <w:r w:rsidR="00B15A72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0236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ŽITO</w:t>
      </w:r>
      <w:r w:rsidR="00AD7DD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d.o.o., na razini Varaždina ZAGORJE-TEHNOBETON d.d., na razini Karlovca HS PROD</w:t>
      </w:r>
      <w:r w:rsidR="006328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UKT d.o.o., na razini Svete </w:t>
      </w:r>
      <w:proofErr w:type="spellStart"/>
      <w:r w:rsidR="006328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Ned</w:t>
      </w:r>
      <w:r w:rsidR="00AD7DD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elje</w:t>
      </w:r>
      <w:proofErr w:type="spellEnd"/>
      <w:r w:rsidR="00AD7DD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Specijalna bolnica za opću kirurgiju i ginekologiju te radioterapiju ONKOL, na razini Rijeke PLODINE d.d., na razini Čakovca TMT d.o.o., na razini </w:t>
      </w:r>
      <w:r w:rsidR="001E6EB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So</w:t>
      </w:r>
      <w:r w:rsid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l</w:t>
      </w:r>
      <w:r w:rsidR="001E6EB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ina AD PLASTIK d.d., na razini Vukovara PRVO PLINARSKO DRUŠTVO d.o.o.</w:t>
      </w:r>
      <w:r w:rsidR="00AD7DD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</w:t>
      </w:r>
      <w:r w:rsidR="001E6EB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C1714B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na razini </w:t>
      </w:r>
      <w:r w:rsidR="001E6EB7" w:rsidRPr="001E6EB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Kutine PETROKEMIJA d.d.</w:t>
      </w:r>
      <w:r w:rsidR="0002368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7B5184" w:rsidRPr="006D3908" w:rsidRDefault="007B5184" w:rsidP="007620C8">
      <w:pPr>
        <w:widowControl w:val="0"/>
        <w:tabs>
          <w:tab w:val="left" w:pos="1418"/>
        </w:tabs>
        <w:spacing w:before="120" w:after="0"/>
        <w:ind w:left="1418" w:hanging="1418"/>
        <w:jc w:val="both"/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</w:pPr>
      <w:r w:rsidRPr="001E6EB7">
        <w:rPr>
          <w:rFonts w:ascii="Arial" w:eastAsia="Times New Roman" w:hAnsi="Arial" w:cs="Times New Roman"/>
          <w:b/>
          <w:color w:val="0F243E" w:themeColor="text2" w:themeShade="80"/>
          <w:sz w:val="18"/>
          <w:szCs w:val="18"/>
          <w:lang w:eastAsia="hr-HR"/>
        </w:rPr>
        <w:t xml:space="preserve">Grafikon </w:t>
      </w:r>
      <w:r w:rsidR="00555C3B" w:rsidRPr="001E6EB7">
        <w:rPr>
          <w:rFonts w:ascii="Arial" w:eastAsia="Times New Roman" w:hAnsi="Arial" w:cs="Times New Roman"/>
          <w:b/>
          <w:color w:val="0F243E" w:themeColor="text2" w:themeShade="80"/>
          <w:sz w:val="18"/>
          <w:szCs w:val="18"/>
          <w:lang w:eastAsia="hr-HR"/>
        </w:rPr>
        <w:t>1</w:t>
      </w:r>
      <w:r w:rsidRPr="001E6EB7">
        <w:rPr>
          <w:rFonts w:ascii="Arial" w:eastAsia="Times New Roman" w:hAnsi="Arial" w:cs="Times New Roman"/>
          <w:b/>
          <w:color w:val="0F243E" w:themeColor="text2" w:themeShade="80"/>
          <w:sz w:val="18"/>
          <w:szCs w:val="18"/>
          <w:lang w:eastAsia="hr-HR"/>
        </w:rPr>
        <w:t>.</w:t>
      </w:r>
      <w:r w:rsidRPr="001E6EB7">
        <w:rPr>
          <w:rFonts w:ascii="Arial" w:eastAsia="Times New Roman" w:hAnsi="Arial" w:cs="Times New Roman"/>
          <w:b/>
          <w:color w:val="0F243E" w:themeColor="text2" w:themeShade="80"/>
          <w:sz w:val="18"/>
          <w:szCs w:val="18"/>
          <w:lang w:eastAsia="hr-HR"/>
        </w:rPr>
        <w:tab/>
        <w:t xml:space="preserve">Udio 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poduzetnika u TOP 10 gradova po neto dobiti u ukupnim rezultatima poduzetnika na razini RH</w:t>
      </w:r>
      <w:r w:rsidR="007620C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,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u 20</w:t>
      </w:r>
      <w:r w:rsidR="003C6946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20</w:t>
      </w:r>
      <w:r w:rsidR="00C1714B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godini</w:t>
      </w:r>
    </w:p>
    <w:p w:rsidR="007B5184" w:rsidRDefault="007620C8" w:rsidP="007B5184">
      <w:pPr>
        <w:widowControl w:val="0"/>
        <w:tabs>
          <w:tab w:val="left" w:pos="1134"/>
        </w:tabs>
        <w:spacing w:after="0"/>
        <w:ind w:left="1134" w:hanging="1134"/>
        <w:jc w:val="center"/>
        <w:rPr>
          <w:rFonts w:ascii="Arial" w:eastAsia="Times New Roman" w:hAnsi="Arial" w:cs="Times New Roman"/>
          <w:color w:val="003366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noProof/>
          <w:color w:val="003366"/>
          <w:sz w:val="18"/>
          <w:szCs w:val="18"/>
          <w:lang w:eastAsia="hr-HR"/>
        </w:rPr>
        <w:drawing>
          <wp:inline distT="0" distB="0" distL="0" distR="0" wp14:anchorId="32ECB3C4">
            <wp:extent cx="6257676" cy="196397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676" cy="1963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B9D" w:rsidRDefault="00876B9D" w:rsidP="009E00EC">
      <w:pPr>
        <w:spacing w:after="120" w:line="240" w:lineRule="auto"/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>Izvor: Fina, Registar godišnjih financijskih izvještaja</w:t>
      </w:r>
      <w:r w:rsidR="004860D9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 xml:space="preserve">, </w:t>
      </w:r>
      <w:r w:rsidR="004860D9" w:rsidRPr="004860D9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>obrada GFI-a za 2020. godinu</w:t>
      </w:r>
    </w:p>
    <w:tbl>
      <w:tblPr>
        <w:tblW w:w="10005" w:type="dxa"/>
        <w:jc w:val="center"/>
        <w:tblInd w:w="-25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0005"/>
      </w:tblGrid>
      <w:tr w:rsidR="002B03A8" w:rsidTr="009E00EC">
        <w:trPr>
          <w:trHeight w:val="737"/>
          <w:jc w:val="center"/>
        </w:trPr>
        <w:tc>
          <w:tcPr>
            <w:tcW w:w="100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9E00EC" w:rsidRDefault="00AA25F8" w:rsidP="009E00EC">
            <w:pPr>
              <w:widowControl w:val="0"/>
              <w:tabs>
                <w:tab w:val="left" w:pos="343"/>
              </w:tabs>
              <w:spacing w:after="0" w:line="264" w:lineRule="auto"/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</w:pPr>
            <w:hyperlink r:id="rId9" w:history="1">
              <w:r w:rsidR="00EA2053">
                <w:rPr>
                  <w:rStyle w:val="Hyperlink"/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shd w:val="clear" w:color="auto" w:fill="FFFFFF"/>
                  <w:lang w:eastAsia="hr-HR"/>
                </w:rPr>
                <w:t>i</w:t>
              </w:r>
              <w:r w:rsidR="002B03A8">
                <w:rPr>
                  <w:rStyle w:val="Hyperlink"/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shd w:val="clear" w:color="auto" w:fill="FFFFFF"/>
                  <w:lang w:eastAsia="hr-HR"/>
                </w:rPr>
                <w:t>nfo.BIZ</w:t>
              </w:r>
            </w:hyperlink>
            <w:r w:rsidR="002B03A8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2B03A8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2B03A8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8</w:t>
            </w:r>
            <w:r w:rsidR="009E00EC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30</w:t>
            </w:r>
            <w:r w:rsidR="002B03A8">
              <w:rPr>
                <w:rFonts w:ascii="Arial" w:eastAsia="Times New Roman" w:hAnsi="Arial" w:cs="Arial"/>
                <w:b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>.000 poslovnih subjekata iz više od 30 izvora.</w:t>
            </w:r>
            <w:r w:rsidR="002B03A8">
              <w:rPr>
                <w:rFonts w:ascii="Arial" w:eastAsia="Times New Roman" w:hAnsi="Arial" w:cs="Arial"/>
                <w:i/>
                <w:color w:val="244061"/>
                <w:sz w:val="16"/>
                <w:szCs w:val="16"/>
                <w:shd w:val="clear" w:color="auto" w:fill="FFFFFF"/>
                <w:lang w:eastAsia="hr-HR"/>
              </w:rPr>
              <w:t xml:space="preserve"> </w:t>
            </w:r>
          </w:p>
          <w:p w:rsidR="002B03A8" w:rsidRDefault="002B03A8" w:rsidP="00404E1D">
            <w:pPr>
              <w:widowControl w:val="0"/>
              <w:tabs>
                <w:tab w:val="left" w:pos="343"/>
              </w:tabs>
              <w:spacing w:after="0" w:line="264" w:lineRule="auto"/>
              <w:rPr>
                <w:rFonts w:ascii="Arial" w:eastAsia="Calibri" w:hAnsi="Arial" w:cs="Arial"/>
                <w:bCs/>
                <w:color w:val="17365D"/>
                <w:sz w:val="16"/>
                <w:szCs w:val="16"/>
              </w:rPr>
            </w:pPr>
            <w:r w:rsidRPr="009E00E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D9D9D9" w:themeFill="background1" w:themeFillShade="D9"/>
              </w:rPr>
              <w:t>Ako želite ugovoriti uslugu ili kupiti veći broj paketa</w:t>
            </w:r>
            <w:r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>:</w:t>
            </w:r>
            <w:r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0" w:history="1">
              <w:r>
                <w:rPr>
                  <w:rStyle w:val="Hyperlink"/>
                  <w:rFonts w:ascii="Arial" w:eastAsia="Calibri" w:hAnsi="Arial" w:cs="Arial"/>
                  <w:i/>
                  <w:color w:val="0000FF"/>
                  <w:sz w:val="16"/>
                  <w:szCs w:val="16"/>
                </w:rPr>
                <w:t>prodaja@fina.hr</w:t>
              </w:r>
            </w:hyperlink>
            <w:r>
              <w:rPr>
                <w:rFonts w:ascii="Arial" w:eastAsia="Calibri" w:hAnsi="Arial" w:cs="Arial"/>
                <w:i/>
                <w:color w:val="007AFF"/>
                <w:sz w:val="16"/>
                <w:szCs w:val="16"/>
              </w:rPr>
              <w:t xml:space="preserve"> </w:t>
            </w:r>
            <w:r w:rsidR="00404E1D">
              <w:rPr>
                <w:rFonts w:ascii="Arial" w:eastAsia="Calibri" w:hAnsi="Arial" w:cs="Arial"/>
                <w:i/>
                <w:color w:val="007AFF"/>
                <w:sz w:val="16"/>
                <w:szCs w:val="16"/>
              </w:rPr>
              <w:t xml:space="preserve"> </w:t>
            </w:r>
            <w:r w:rsidRPr="009E00EC"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D9D9D9" w:themeFill="background1" w:themeFillShade="D9"/>
              </w:rPr>
              <w:t>Ako trebate korisničku podršku</w:t>
            </w:r>
            <w:r>
              <w:rPr>
                <w:rFonts w:ascii="Arial" w:eastAsia="Calibri" w:hAnsi="Arial" w:cs="Arial"/>
                <w:i/>
                <w:color w:val="244061"/>
                <w:sz w:val="16"/>
                <w:szCs w:val="16"/>
                <w:shd w:val="clear" w:color="auto" w:fill="FFFFFF" w:themeFill="background1"/>
              </w:rPr>
              <w:t>: 0800 0080</w:t>
            </w:r>
            <w:r>
              <w:rPr>
                <w:rFonts w:ascii="Arial" w:eastAsia="Calibri" w:hAnsi="Arial" w:cs="Arial"/>
                <w:i/>
                <w:color w:val="33343A"/>
                <w:sz w:val="16"/>
                <w:szCs w:val="16"/>
                <w:shd w:val="clear" w:color="auto" w:fill="FFFFFF" w:themeFill="background1"/>
              </w:rPr>
              <w:t xml:space="preserve">, </w:t>
            </w:r>
            <w:hyperlink r:id="rId11" w:history="1">
              <w:r>
                <w:rPr>
                  <w:rStyle w:val="Hyperlink"/>
                  <w:rFonts w:ascii="Arial" w:eastAsia="Calibri" w:hAnsi="Arial" w:cs="Arial"/>
                  <w:i/>
                  <w:color w:val="007AFF"/>
                  <w:sz w:val="16"/>
                  <w:szCs w:val="16"/>
                  <w:shd w:val="clear" w:color="auto" w:fill="FFFFFF" w:themeFill="background1"/>
                </w:rPr>
                <w:t>info@fina.hr</w:t>
              </w:r>
            </w:hyperlink>
          </w:p>
        </w:tc>
      </w:tr>
    </w:tbl>
    <w:p w:rsidR="00B30DC8" w:rsidRPr="007B5184" w:rsidRDefault="00B30DC8" w:rsidP="007620C8">
      <w:pPr>
        <w:spacing w:before="40" w:after="0" w:line="264" w:lineRule="auto"/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</w:pPr>
    </w:p>
    <w:sectPr w:rsidR="00B30DC8" w:rsidRPr="007B5184" w:rsidSect="00516CF5">
      <w:headerReference w:type="default" r:id="rId12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5F8" w:rsidRDefault="00AA25F8" w:rsidP="007B5184">
      <w:pPr>
        <w:spacing w:after="0" w:line="240" w:lineRule="auto"/>
      </w:pPr>
      <w:r>
        <w:separator/>
      </w:r>
    </w:p>
  </w:endnote>
  <w:endnote w:type="continuationSeparator" w:id="0">
    <w:p w:rsidR="00AA25F8" w:rsidRDefault="00AA25F8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5F8" w:rsidRDefault="00AA25F8" w:rsidP="007B5184">
      <w:pPr>
        <w:spacing w:after="0" w:line="240" w:lineRule="auto"/>
      </w:pPr>
      <w:r>
        <w:separator/>
      </w:r>
    </w:p>
  </w:footnote>
  <w:footnote w:type="continuationSeparator" w:id="0">
    <w:p w:rsidR="00AA25F8" w:rsidRDefault="00AA25F8" w:rsidP="007B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184" w:rsidRDefault="007B5184">
    <w:pPr>
      <w:pStyle w:val="Header"/>
    </w:pPr>
    <w:r w:rsidRPr="007B5184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16E233A9" wp14:editId="7EE49104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84"/>
    <w:rsid w:val="00023689"/>
    <w:rsid w:val="000A0820"/>
    <w:rsid w:val="00121B9A"/>
    <w:rsid w:val="00121D1E"/>
    <w:rsid w:val="001268A3"/>
    <w:rsid w:val="0015614A"/>
    <w:rsid w:val="001A0B8F"/>
    <w:rsid w:val="001C4F8B"/>
    <w:rsid w:val="001E6EB7"/>
    <w:rsid w:val="00242CAB"/>
    <w:rsid w:val="0025451C"/>
    <w:rsid w:val="00261800"/>
    <w:rsid w:val="00277BD6"/>
    <w:rsid w:val="00291DD5"/>
    <w:rsid w:val="0029664C"/>
    <w:rsid w:val="002B03A8"/>
    <w:rsid w:val="002C2DF7"/>
    <w:rsid w:val="002D472A"/>
    <w:rsid w:val="002E0BA4"/>
    <w:rsid w:val="00335025"/>
    <w:rsid w:val="003A23AF"/>
    <w:rsid w:val="003A256E"/>
    <w:rsid w:val="003C6946"/>
    <w:rsid w:val="003F5855"/>
    <w:rsid w:val="00404E1D"/>
    <w:rsid w:val="00407EE3"/>
    <w:rsid w:val="00444109"/>
    <w:rsid w:val="00472594"/>
    <w:rsid w:val="004860D9"/>
    <w:rsid w:val="004A2A3D"/>
    <w:rsid w:val="004B7E4B"/>
    <w:rsid w:val="00516CF5"/>
    <w:rsid w:val="00555C3B"/>
    <w:rsid w:val="00556B78"/>
    <w:rsid w:val="005652FA"/>
    <w:rsid w:val="00591267"/>
    <w:rsid w:val="00593A40"/>
    <w:rsid w:val="005E2349"/>
    <w:rsid w:val="0063289F"/>
    <w:rsid w:val="00662060"/>
    <w:rsid w:val="00677B68"/>
    <w:rsid w:val="006B3C62"/>
    <w:rsid w:val="0072197E"/>
    <w:rsid w:val="0074656D"/>
    <w:rsid w:val="007620C8"/>
    <w:rsid w:val="007966F5"/>
    <w:rsid w:val="007B0912"/>
    <w:rsid w:val="007B5184"/>
    <w:rsid w:val="007E40D1"/>
    <w:rsid w:val="0084012F"/>
    <w:rsid w:val="008521CD"/>
    <w:rsid w:val="00876B9D"/>
    <w:rsid w:val="008A4FEC"/>
    <w:rsid w:val="00905843"/>
    <w:rsid w:val="00927634"/>
    <w:rsid w:val="00983A34"/>
    <w:rsid w:val="009855A6"/>
    <w:rsid w:val="00987E8E"/>
    <w:rsid w:val="009A1DAD"/>
    <w:rsid w:val="009B0A26"/>
    <w:rsid w:val="009C6DC0"/>
    <w:rsid w:val="009E00EC"/>
    <w:rsid w:val="009E2C09"/>
    <w:rsid w:val="00A3152B"/>
    <w:rsid w:val="00AA25F8"/>
    <w:rsid w:val="00AD7DD7"/>
    <w:rsid w:val="00AE2ECA"/>
    <w:rsid w:val="00B14672"/>
    <w:rsid w:val="00B15A72"/>
    <w:rsid w:val="00B23D8E"/>
    <w:rsid w:val="00B27C4C"/>
    <w:rsid w:val="00B30DC8"/>
    <w:rsid w:val="00B40365"/>
    <w:rsid w:val="00B74385"/>
    <w:rsid w:val="00BC0C94"/>
    <w:rsid w:val="00BF21EF"/>
    <w:rsid w:val="00C00295"/>
    <w:rsid w:val="00C1714B"/>
    <w:rsid w:val="00CA5749"/>
    <w:rsid w:val="00D04F20"/>
    <w:rsid w:val="00D349D6"/>
    <w:rsid w:val="00D46054"/>
    <w:rsid w:val="00D97B58"/>
    <w:rsid w:val="00DE0B5A"/>
    <w:rsid w:val="00DE2299"/>
    <w:rsid w:val="00E35AFE"/>
    <w:rsid w:val="00E73738"/>
    <w:rsid w:val="00E74F0C"/>
    <w:rsid w:val="00E81DE5"/>
    <w:rsid w:val="00E90511"/>
    <w:rsid w:val="00EA2053"/>
    <w:rsid w:val="00F75702"/>
    <w:rsid w:val="00FB0BE9"/>
    <w:rsid w:val="00FC60A9"/>
    <w:rsid w:val="00FF1241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1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1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84"/>
  </w:style>
  <w:style w:type="paragraph" w:styleId="Footer">
    <w:name w:val="footer"/>
    <w:basedOn w:val="Normal"/>
    <w:link w:val="Foot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84"/>
  </w:style>
  <w:style w:type="character" w:styleId="Hyperlink">
    <w:name w:val="Hyperlink"/>
    <w:basedOn w:val="DefaultParagraphFont"/>
    <w:uiPriority w:val="99"/>
    <w:unhideWhenUsed/>
    <w:rsid w:val="00B15A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1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18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184"/>
  </w:style>
  <w:style w:type="paragraph" w:styleId="Footer">
    <w:name w:val="footer"/>
    <w:basedOn w:val="Normal"/>
    <w:link w:val="Footer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84"/>
  </w:style>
  <w:style w:type="character" w:styleId="Hyperlink">
    <w:name w:val="Hyperlink"/>
    <w:basedOn w:val="DefaultParagraphFont"/>
    <w:uiPriority w:val="99"/>
    <w:unhideWhenUsed/>
    <w:rsid w:val="00B15A7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fin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daja@fin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C57F-7806-4491-9C28-845EA5406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Ante Šimunović</cp:lastModifiedBy>
  <cp:revision>2</cp:revision>
  <dcterms:created xsi:type="dcterms:W3CDTF">2021-09-10T11:27:00Z</dcterms:created>
  <dcterms:modified xsi:type="dcterms:W3CDTF">2021-09-10T11:27:00Z</dcterms:modified>
</cp:coreProperties>
</file>