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40E8" w:rsidRPr="009E5E44" w:rsidRDefault="00D27342" w:rsidP="00DB2231">
      <w:pPr>
        <w:spacing w:before="40" w:line="240" w:lineRule="auto"/>
        <w:jc w:val="center"/>
        <w:rPr>
          <w:color w:val="17365D" w:themeColor="text2" w:themeShade="BF"/>
        </w:rPr>
      </w:pPr>
      <w:r w:rsidRPr="000E051D">
        <w:rPr>
          <w:rFonts w:cs="Arial"/>
          <w:b/>
          <w:color w:val="17365D" w:themeColor="text2" w:themeShade="BF"/>
          <w:szCs w:val="20"/>
        </w:rPr>
        <w:t>R</w:t>
      </w:r>
      <w:r w:rsidR="00A359F2" w:rsidRPr="000E051D">
        <w:rPr>
          <w:rFonts w:cs="Arial"/>
          <w:b/>
          <w:color w:val="17365D" w:themeColor="text2" w:themeShade="BF"/>
          <w:szCs w:val="20"/>
        </w:rPr>
        <w:t>EZULTATI</w:t>
      </w:r>
      <w:r w:rsidR="002640E8" w:rsidRPr="000E051D">
        <w:rPr>
          <w:rFonts w:cs="Arial"/>
          <w:b/>
          <w:color w:val="17365D" w:themeColor="text2" w:themeShade="BF"/>
          <w:szCs w:val="20"/>
        </w:rPr>
        <w:t xml:space="preserve"> PODUZETNIKA U DJELATNOSTI TRGOVINE NA MALO IGRAMA I IGRAČKAMA U SPECIJALIZIRANIM PR</w:t>
      </w:r>
      <w:r w:rsidR="00A8335B" w:rsidRPr="000E051D">
        <w:rPr>
          <w:rFonts w:cs="Arial"/>
          <w:b/>
          <w:color w:val="17365D" w:themeColor="text2" w:themeShade="BF"/>
          <w:szCs w:val="20"/>
        </w:rPr>
        <w:t>ODAVAONICAMA U RAZDOBLJU OD 20</w:t>
      </w:r>
      <w:r w:rsidR="000B74C1" w:rsidRPr="000E051D">
        <w:rPr>
          <w:rFonts w:cs="Arial"/>
          <w:b/>
          <w:color w:val="17365D" w:themeColor="text2" w:themeShade="BF"/>
          <w:szCs w:val="20"/>
        </w:rPr>
        <w:t>15</w:t>
      </w:r>
      <w:r w:rsidR="00A8335B" w:rsidRPr="000E051D">
        <w:rPr>
          <w:rFonts w:cs="Arial"/>
          <w:b/>
          <w:color w:val="17365D" w:themeColor="text2" w:themeShade="BF"/>
          <w:szCs w:val="20"/>
        </w:rPr>
        <w:t>. DO 201</w:t>
      </w:r>
      <w:r w:rsidR="000B74C1" w:rsidRPr="000E051D">
        <w:rPr>
          <w:rFonts w:cs="Arial"/>
          <w:b/>
          <w:color w:val="17365D" w:themeColor="text2" w:themeShade="BF"/>
          <w:szCs w:val="20"/>
        </w:rPr>
        <w:t>9</w:t>
      </w:r>
      <w:r w:rsidR="002640E8" w:rsidRPr="000E051D">
        <w:rPr>
          <w:rFonts w:cs="Arial"/>
          <w:b/>
          <w:color w:val="17365D" w:themeColor="text2" w:themeShade="BF"/>
          <w:szCs w:val="20"/>
        </w:rPr>
        <w:t>. GODINE</w:t>
      </w:r>
    </w:p>
    <w:p w:rsidR="00BE756A" w:rsidRDefault="00B11B89" w:rsidP="00BE756A">
      <w:pPr>
        <w:spacing w:before="120"/>
        <w:rPr>
          <w:rFonts w:cs="Arial"/>
          <w:color w:val="17365D" w:themeColor="text2" w:themeShade="BF"/>
          <w:szCs w:val="20"/>
        </w:rPr>
      </w:pPr>
      <w:r w:rsidRPr="000E051D">
        <w:rPr>
          <w:rFonts w:cs="Arial"/>
          <w:color w:val="17365D" w:themeColor="text2" w:themeShade="BF"/>
          <w:szCs w:val="20"/>
        </w:rPr>
        <w:t>U razdoblju od 2015. do 2019. godine, prema podacima iz obrađenih godišnjih financijskih izvještaja</w:t>
      </w:r>
      <w:r w:rsidR="00FA20E2">
        <w:rPr>
          <w:rFonts w:cs="Arial"/>
          <w:color w:val="17365D" w:themeColor="text2" w:themeShade="BF"/>
          <w:szCs w:val="20"/>
        </w:rPr>
        <w:t xml:space="preserve"> za statističke i dr. potrebe</w:t>
      </w:r>
      <w:r w:rsidRPr="000E051D">
        <w:rPr>
          <w:rFonts w:cs="Arial"/>
          <w:color w:val="17365D" w:themeColor="text2" w:themeShade="BF"/>
          <w:szCs w:val="20"/>
        </w:rPr>
        <w:t xml:space="preserve">, </w:t>
      </w:r>
      <w:r w:rsidR="00225037" w:rsidRPr="000E051D">
        <w:rPr>
          <w:rFonts w:cs="Arial"/>
          <w:color w:val="17365D" w:themeColor="text2" w:themeShade="BF"/>
          <w:szCs w:val="20"/>
        </w:rPr>
        <w:t xml:space="preserve">u djelatnosti trgovine na malo igrama i igračkama u specijaliziranim prodavaonicama </w:t>
      </w:r>
      <w:r w:rsidR="00FA20E2">
        <w:rPr>
          <w:rFonts w:cs="Arial"/>
          <w:color w:val="17365D" w:themeColor="text2" w:themeShade="BF"/>
          <w:szCs w:val="20"/>
        </w:rPr>
        <w:t xml:space="preserve">broj </w:t>
      </w:r>
      <w:r w:rsidRPr="000E051D">
        <w:rPr>
          <w:rFonts w:cs="Arial"/>
          <w:color w:val="17365D" w:themeColor="text2" w:themeShade="BF"/>
          <w:szCs w:val="20"/>
        </w:rPr>
        <w:t xml:space="preserve">poduzetnika </w:t>
      </w:r>
      <w:r w:rsidR="0047546B">
        <w:rPr>
          <w:rFonts w:cs="Arial"/>
          <w:color w:val="17365D" w:themeColor="text2" w:themeShade="BF"/>
          <w:szCs w:val="20"/>
        </w:rPr>
        <w:t xml:space="preserve">kretao se između </w:t>
      </w:r>
      <w:r w:rsidR="00225037" w:rsidRPr="000E051D">
        <w:rPr>
          <w:rFonts w:cs="Arial"/>
          <w:color w:val="17365D" w:themeColor="text2" w:themeShade="BF"/>
          <w:szCs w:val="20"/>
        </w:rPr>
        <w:t>22 i</w:t>
      </w:r>
      <w:r w:rsidR="00E1424E">
        <w:rPr>
          <w:rFonts w:cs="Arial"/>
          <w:color w:val="17365D" w:themeColor="text2" w:themeShade="BF"/>
          <w:szCs w:val="20"/>
        </w:rPr>
        <w:t xml:space="preserve"> </w:t>
      </w:r>
      <w:r w:rsidR="00225037" w:rsidRPr="000E051D">
        <w:rPr>
          <w:rFonts w:cs="Arial"/>
          <w:color w:val="17365D" w:themeColor="text2" w:themeShade="BF"/>
          <w:szCs w:val="20"/>
        </w:rPr>
        <w:t>27</w:t>
      </w:r>
      <w:r w:rsidRPr="000E051D">
        <w:rPr>
          <w:rFonts w:cs="Arial"/>
          <w:color w:val="17365D" w:themeColor="text2" w:themeShade="BF"/>
          <w:szCs w:val="20"/>
        </w:rPr>
        <w:t>.</w:t>
      </w:r>
      <w:r w:rsidRPr="00B11B89">
        <w:rPr>
          <w:rFonts w:cs="Arial"/>
          <w:color w:val="17365D" w:themeColor="text2" w:themeShade="BF"/>
          <w:szCs w:val="20"/>
        </w:rPr>
        <w:t xml:space="preserve"> </w:t>
      </w:r>
      <w:r w:rsidR="008D310F">
        <w:rPr>
          <w:rFonts w:cs="Arial"/>
          <w:color w:val="17365D" w:themeColor="text2" w:themeShade="BF"/>
          <w:szCs w:val="20"/>
        </w:rPr>
        <w:t xml:space="preserve">Inače, broj poduzetnika bio je svake godine veći od navedenoga, ali nisu svi poduzetnici redoviti u sastavljanju i predaji godišnjeg financijskog izvještaja te za takve </w:t>
      </w:r>
      <w:r w:rsidR="009404CB">
        <w:rPr>
          <w:rFonts w:cs="Arial"/>
          <w:color w:val="17365D" w:themeColor="text2" w:themeShade="BF"/>
          <w:szCs w:val="20"/>
        </w:rPr>
        <w:t xml:space="preserve">podaci </w:t>
      </w:r>
      <w:r w:rsidR="008D310F">
        <w:rPr>
          <w:rFonts w:cs="Arial"/>
          <w:color w:val="17365D" w:themeColor="text2" w:themeShade="BF"/>
          <w:szCs w:val="20"/>
        </w:rPr>
        <w:t>n</w:t>
      </w:r>
      <w:r w:rsidR="009404CB">
        <w:rPr>
          <w:rFonts w:cs="Arial"/>
          <w:color w:val="17365D" w:themeColor="text2" w:themeShade="BF"/>
          <w:szCs w:val="20"/>
        </w:rPr>
        <w:t>isu</w:t>
      </w:r>
      <w:r w:rsidR="008D310F">
        <w:rPr>
          <w:rFonts w:cs="Arial"/>
          <w:color w:val="17365D" w:themeColor="text2" w:themeShade="BF"/>
          <w:szCs w:val="20"/>
        </w:rPr>
        <w:t xml:space="preserve"> </w:t>
      </w:r>
      <w:r w:rsidR="009404CB">
        <w:rPr>
          <w:rFonts w:cs="Arial"/>
          <w:color w:val="17365D" w:themeColor="text2" w:themeShade="BF"/>
          <w:szCs w:val="20"/>
        </w:rPr>
        <w:t xml:space="preserve">dostupni. </w:t>
      </w:r>
      <w:r w:rsidR="008D310F">
        <w:rPr>
          <w:rFonts w:cs="Arial"/>
          <w:color w:val="17365D" w:themeColor="text2" w:themeShade="BF"/>
          <w:szCs w:val="20"/>
        </w:rPr>
        <w:t xml:space="preserve"> Primjerice, u 2019. godini bil</w:t>
      </w:r>
      <w:r w:rsidR="00216A58">
        <w:rPr>
          <w:rFonts w:cs="Arial"/>
          <w:color w:val="17365D" w:themeColor="text2" w:themeShade="BF"/>
          <w:szCs w:val="20"/>
        </w:rPr>
        <w:t>a su aktivna 32 poduzetnika</w:t>
      </w:r>
      <w:r w:rsidR="00216A58">
        <w:rPr>
          <w:rStyle w:val="Referencafusnote"/>
          <w:color w:val="17365D" w:themeColor="text2" w:themeShade="BF"/>
          <w:szCs w:val="20"/>
        </w:rPr>
        <w:footnoteReference w:id="1"/>
      </w:r>
      <w:r w:rsidR="00216A58">
        <w:rPr>
          <w:rFonts w:cs="Arial"/>
          <w:color w:val="17365D" w:themeColor="text2" w:themeShade="BF"/>
          <w:szCs w:val="20"/>
        </w:rPr>
        <w:t>, ali njih 10 nije ispunilo zakonom propisanu obvezu</w:t>
      </w:r>
      <w:r w:rsidR="00216A58">
        <w:rPr>
          <w:rStyle w:val="Referencafusnote"/>
          <w:color w:val="17365D" w:themeColor="text2" w:themeShade="BF"/>
          <w:szCs w:val="20"/>
        </w:rPr>
        <w:footnoteReference w:id="2"/>
      </w:r>
      <w:r w:rsidR="00216A58">
        <w:rPr>
          <w:rFonts w:cs="Arial"/>
          <w:color w:val="17365D" w:themeColor="text2" w:themeShade="BF"/>
          <w:szCs w:val="20"/>
        </w:rPr>
        <w:t xml:space="preserve">. </w:t>
      </w:r>
      <w:r w:rsidR="00DE1B1C">
        <w:rPr>
          <w:rFonts w:cs="Arial"/>
          <w:color w:val="17365D" w:themeColor="text2" w:themeShade="BF"/>
          <w:szCs w:val="20"/>
        </w:rPr>
        <w:t>U međuvremenu su tr</w:t>
      </w:r>
      <w:r w:rsidR="00EA76A4">
        <w:rPr>
          <w:rFonts w:cs="Arial"/>
          <w:color w:val="17365D" w:themeColor="text2" w:themeShade="BF"/>
          <w:szCs w:val="20"/>
        </w:rPr>
        <w:t>i</w:t>
      </w:r>
      <w:r w:rsidR="00DE1B1C">
        <w:rPr>
          <w:rFonts w:cs="Arial"/>
          <w:color w:val="17365D" w:themeColor="text2" w:themeShade="BF"/>
          <w:szCs w:val="20"/>
        </w:rPr>
        <w:t xml:space="preserve"> društva brisana, ali osnivaju se i nova pa je tako u 2020. godini osnovano pet društava</w:t>
      </w:r>
      <w:r w:rsidR="00DE1B1C">
        <w:rPr>
          <w:rStyle w:val="Referencafusnote"/>
          <w:color w:val="17365D" w:themeColor="text2" w:themeShade="BF"/>
          <w:szCs w:val="20"/>
        </w:rPr>
        <w:footnoteReference w:id="3"/>
      </w:r>
      <w:r w:rsidR="00EA76A4">
        <w:rPr>
          <w:rFonts w:cs="Arial"/>
          <w:color w:val="17365D" w:themeColor="text2" w:themeShade="BF"/>
          <w:szCs w:val="20"/>
        </w:rPr>
        <w:t>.</w:t>
      </w:r>
      <w:r w:rsidR="00BE756A">
        <w:rPr>
          <w:rFonts w:cs="Arial"/>
          <w:color w:val="17365D" w:themeColor="text2" w:themeShade="BF"/>
          <w:szCs w:val="20"/>
        </w:rPr>
        <w:t xml:space="preserve"> </w:t>
      </w:r>
      <w:r w:rsidR="0047546B">
        <w:rPr>
          <w:rFonts w:cs="Arial"/>
          <w:color w:val="17365D" w:themeColor="text2" w:themeShade="BF"/>
          <w:szCs w:val="20"/>
        </w:rPr>
        <w:t>Broj zaposlenih se smanjio sa</w:t>
      </w:r>
      <w:r w:rsidR="00ED63FD">
        <w:rPr>
          <w:rFonts w:cs="Arial"/>
          <w:color w:val="17365D" w:themeColor="text2" w:themeShade="BF"/>
          <w:szCs w:val="20"/>
        </w:rPr>
        <w:t xml:space="preserve"> </w:t>
      </w:r>
      <w:r w:rsidR="00225037" w:rsidRPr="000E051D">
        <w:rPr>
          <w:rFonts w:cs="Arial"/>
          <w:color w:val="17365D" w:themeColor="text2" w:themeShade="BF"/>
          <w:szCs w:val="20"/>
        </w:rPr>
        <w:t>150</w:t>
      </w:r>
      <w:r w:rsidR="0047546B">
        <w:rPr>
          <w:rFonts w:cs="Arial"/>
          <w:color w:val="17365D" w:themeColor="text2" w:themeShade="BF"/>
          <w:szCs w:val="20"/>
        </w:rPr>
        <w:t xml:space="preserve"> (2015.)</w:t>
      </w:r>
      <w:r w:rsidRPr="000E051D">
        <w:rPr>
          <w:rFonts w:cs="Arial"/>
          <w:color w:val="17365D" w:themeColor="text2" w:themeShade="BF"/>
          <w:szCs w:val="20"/>
        </w:rPr>
        <w:t xml:space="preserve">, </w:t>
      </w:r>
      <w:r w:rsidR="0047546B">
        <w:rPr>
          <w:rFonts w:cs="Arial"/>
          <w:color w:val="17365D" w:themeColor="text2" w:themeShade="BF"/>
          <w:szCs w:val="20"/>
        </w:rPr>
        <w:t>n</w:t>
      </w:r>
      <w:r w:rsidRPr="000E051D">
        <w:rPr>
          <w:rFonts w:cs="Arial"/>
          <w:color w:val="17365D" w:themeColor="text2" w:themeShade="BF"/>
          <w:szCs w:val="20"/>
        </w:rPr>
        <w:t xml:space="preserve">a </w:t>
      </w:r>
      <w:r w:rsidR="00225037" w:rsidRPr="000E051D">
        <w:rPr>
          <w:rFonts w:cs="Arial"/>
          <w:color w:val="17365D" w:themeColor="text2" w:themeShade="BF"/>
          <w:szCs w:val="20"/>
        </w:rPr>
        <w:t>119</w:t>
      </w:r>
      <w:r w:rsidRPr="000E051D">
        <w:rPr>
          <w:rFonts w:cs="Arial"/>
          <w:color w:val="17365D" w:themeColor="text2" w:themeShade="BF"/>
          <w:szCs w:val="20"/>
        </w:rPr>
        <w:t xml:space="preserve"> zaposlenih</w:t>
      </w:r>
      <w:r w:rsidR="0047546B">
        <w:rPr>
          <w:rFonts w:cs="Arial"/>
          <w:color w:val="17365D" w:themeColor="text2" w:themeShade="BF"/>
          <w:szCs w:val="20"/>
        </w:rPr>
        <w:t xml:space="preserve"> </w:t>
      </w:r>
      <w:r w:rsidR="0047546B" w:rsidRPr="0047546B">
        <w:rPr>
          <w:rFonts w:cs="Arial"/>
          <w:color w:val="17365D" w:themeColor="text2" w:themeShade="BF"/>
          <w:szCs w:val="20"/>
        </w:rPr>
        <w:t>(201</w:t>
      </w:r>
      <w:r w:rsidR="0047546B">
        <w:rPr>
          <w:rFonts w:cs="Arial"/>
          <w:color w:val="17365D" w:themeColor="text2" w:themeShade="BF"/>
          <w:szCs w:val="20"/>
        </w:rPr>
        <w:t>9</w:t>
      </w:r>
      <w:r w:rsidR="0047546B" w:rsidRPr="0047546B">
        <w:rPr>
          <w:rFonts w:cs="Arial"/>
          <w:color w:val="17365D" w:themeColor="text2" w:themeShade="BF"/>
          <w:szCs w:val="20"/>
        </w:rPr>
        <w:t>.)</w:t>
      </w:r>
      <w:r w:rsidRPr="000E051D">
        <w:rPr>
          <w:rFonts w:cs="Arial"/>
          <w:color w:val="17365D" w:themeColor="text2" w:themeShade="BF"/>
          <w:szCs w:val="20"/>
        </w:rPr>
        <w:t xml:space="preserve">. </w:t>
      </w:r>
    </w:p>
    <w:p w:rsidR="00B11B89" w:rsidRDefault="00BE756A" w:rsidP="00BE756A">
      <w:pPr>
        <w:spacing w:before="12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 xml:space="preserve">Da su poduzetnici </w:t>
      </w:r>
      <w:r w:rsidRPr="00BE756A">
        <w:rPr>
          <w:rFonts w:cs="Arial"/>
          <w:color w:val="17365D" w:themeColor="text2" w:themeShade="BF"/>
          <w:szCs w:val="20"/>
        </w:rPr>
        <w:t xml:space="preserve">u djelatnosti trgovine na malo igrama i igračkama u specijaliziranim prodavaonicama </w:t>
      </w:r>
      <w:r>
        <w:rPr>
          <w:rFonts w:cs="Arial"/>
          <w:color w:val="17365D" w:themeColor="text2" w:themeShade="BF"/>
          <w:szCs w:val="20"/>
        </w:rPr>
        <w:t xml:space="preserve">u krizi nalazimo potvrdu i u padu prihoda. </w:t>
      </w:r>
      <w:r w:rsidR="00225037" w:rsidRPr="000E051D">
        <w:rPr>
          <w:rFonts w:cs="Arial"/>
          <w:color w:val="17365D" w:themeColor="text2" w:themeShade="BF"/>
          <w:szCs w:val="20"/>
        </w:rPr>
        <w:t>N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ajveći </w:t>
      </w:r>
      <w:r w:rsidR="0047546B">
        <w:rPr>
          <w:rFonts w:cs="Arial"/>
          <w:color w:val="17365D" w:themeColor="text2" w:themeShade="BF"/>
          <w:szCs w:val="20"/>
        </w:rPr>
        <w:t xml:space="preserve">ukupni </w:t>
      </w:r>
      <w:r w:rsidR="00B11B89" w:rsidRPr="000E051D">
        <w:rPr>
          <w:rFonts w:cs="Arial"/>
          <w:color w:val="17365D" w:themeColor="text2" w:themeShade="BF"/>
          <w:szCs w:val="20"/>
        </w:rPr>
        <w:t>prihod</w:t>
      </w:r>
      <w:r w:rsidR="0047546B">
        <w:rPr>
          <w:rFonts w:cs="Arial"/>
          <w:color w:val="17365D" w:themeColor="text2" w:themeShade="BF"/>
          <w:szCs w:val="20"/>
        </w:rPr>
        <w:t>i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 u proteklih pet godina</w:t>
      </w:r>
      <w:r w:rsidR="00225037" w:rsidRPr="000E051D">
        <w:rPr>
          <w:rFonts w:cs="Arial"/>
          <w:color w:val="17365D" w:themeColor="text2" w:themeShade="BF"/>
          <w:szCs w:val="20"/>
        </w:rPr>
        <w:t xml:space="preserve"> ostvaren</w:t>
      </w:r>
      <w:r w:rsidR="0047546B">
        <w:rPr>
          <w:rFonts w:cs="Arial"/>
          <w:color w:val="17365D" w:themeColor="text2" w:themeShade="BF"/>
          <w:szCs w:val="20"/>
        </w:rPr>
        <w:t xml:space="preserve">i su </w:t>
      </w:r>
      <w:r w:rsidR="00225037" w:rsidRPr="000E051D">
        <w:rPr>
          <w:rFonts w:cs="Arial"/>
          <w:color w:val="17365D" w:themeColor="text2" w:themeShade="BF"/>
          <w:szCs w:val="20"/>
        </w:rPr>
        <w:t xml:space="preserve">2015. godine (53,2 milijuna kuna), </w:t>
      </w:r>
      <w:r w:rsidR="0047546B">
        <w:rPr>
          <w:rFonts w:cs="Arial"/>
          <w:color w:val="17365D" w:themeColor="text2" w:themeShade="BF"/>
          <w:szCs w:val="20"/>
        </w:rPr>
        <w:t xml:space="preserve">a </w:t>
      </w:r>
      <w:r w:rsidR="00225037" w:rsidRPr="000E051D">
        <w:rPr>
          <w:rFonts w:cs="Arial"/>
          <w:color w:val="17365D" w:themeColor="text2" w:themeShade="BF"/>
          <w:szCs w:val="20"/>
        </w:rPr>
        <w:t>najmanji 2019. godin</w:t>
      </w:r>
      <w:r w:rsidR="0047546B">
        <w:rPr>
          <w:rFonts w:cs="Arial"/>
          <w:color w:val="17365D" w:themeColor="text2" w:themeShade="BF"/>
          <w:szCs w:val="20"/>
        </w:rPr>
        <w:t>e</w:t>
      </w:r>
      <w:r w:rsidR="00225037" w:rsidRPr="000E051D">
        <w:rPr>
          <w:rFonts w:cs="Arial"/>
          <w:color w:val="17365D" w:themeColor="text2" w:themeShade="BF"/>
          <w:szCs w:val="20"/>
        </w:rPr>
        <w:t xml:space="preserve"> </w:t>
      </w:r>
      <w:r w:rsidR="004556B2" w:rsidRPr="000E051D">
        <w:rPr>
          <w:rFonts w:cs="Arial"/>
          <w:color w:val="17365D" w:themeColor="text2" w:themeShade="BF"/>
          <w:szCs w:val="20"/>
        </w:rPr>
        <w:t>(</w:t>
      </w:r>
      <w:r w:rsidR="00225037" w:rsidRPr="000E051D">
        <w:rPr>
          <w:rFonts w:cs="Arial"/>
          <w:color w:val="17365D" w:themeColor="text2" w:themeShade="BF"/>
          <w:szCs w:val="20"/>
        </w:rPr>
        <w:t>40,1 milijun kuna</w:t>
      </w:r>
      <w:r w:rsidR="004556B2" w:rsidRPr="000E051D">
        <w:rPr>
          <w:rFonts w:cs="Arial"/>
          <w:color w:val="17365D" w:themeColor="text2" w:themeShade="BF"/>
          <w:szCs w:val="20"/>
        </w:rPr>
        <w:t>)</w:t>
      </w:r>
      <w:r w:rsidR="00225037" w:rsidRPr="000E051D">
        <w:rPr>
          <w:rFonts w:cs="Arial"/>
          <w:color w:val="17365D" w:themeColor="text2" w:themeShade="BF"/>
          <w:szCs w:val="20"/>
        </w:rPr>
        <w:t xml:space="preserve">, </w:t>
      </w:r>
      <w:r w:rsidR="0047546B">
        <w:rPr>
          <w:rFonts w:cs="Arial"/>
          <w:color w:val="17365D" w:themeColor="text2" w:themeShade="BF"/>
          <w:szCs w:val="20"/>
        </w:rPr>
        <w:t xml:space="preserve">što je </w:t>
      </w:r>
      <w:r w:rsidR="00225037" w:rsidRPr="000E051D">
        <w:rPr>
          <w:rFonts w:cs="Arial"/>
          <w:color w:val="17365D" w:themeColor="text2" w:themeShade="BF"/>
          <w:szCs w:val="20"/>
        </w:rPr>
        <w:t>24,7% manje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 u odnosu na 2015.</w:t>
      </w:r>
      <w:r w:rsidR="0047546B">
        <w:rPr>
          <w:rFonts w:cs="Arial"/>
          <w:color w:val="17365D" w:themeColor="text2" w:themeShade="BF"/>
          <w:szCs w:val="20"/>
        </w:rPr>
        <w:t xml:space="preserve"> godinu</w:t>
      </w:r>
      <w:r w:rsidR="00B11B89" w:rsidRPr="000E051D">
        <w:rPr>
          <w:rFonts w:cs="Arial"/>
          <w:color w:val="17365D" w:themeColor="text2" w:themeShade="BF"/>
          <w:szCs w:val="20"/>
        </w:rPr>
        <w:t>.</w:t>
      </w:r>
      <w:r w:rsidR="00CD6023" w:rsidRPr="000E051D">
        <w:rPr>
          <w:rFonts w:cs="Arial"/>
          <w:color w:val="17365D" w:themeColor="text2" w:themeShade="BF"/>
          <w:szCs w:val="20"/>
        </w:rPr>
        <w:t xml:space="preserve"> 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Od </w:t>
      </w:r>
      <w:r w:rsidR="0047546B">
        <w:rPr>
          <w:rFonts w:cs="Arial"/>
          <w:color w:val="17365D" w:themeColor="text2" w:themeShade="BF"/>
          <w:szCs w:val="20"/>
        </w:rPr>
        <w:t>22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 poduzetnika </w:t>
      </w:r>
      <w:r w:rsidR="0047546B">
        <w:rPr>
          <w:rFonts w:cs="Arial"/>
          <w:color w:val="17365D" w:themeColor="text2" w:themeShade="BF"/>
          <w:szCs w:val="20"/>
        </w:rPr>
        <w:t xml:space="preserve">u </w:t>
      </w:r>
      <w:r w:rsidR="004556B2" w:rsidRPr="000E051D">
        <w:rPr>
          <w:rFonts w:cs="Arial"/>
          <w:color w:val="17365D" w:themeColor="text2" w:themeShade="BF"/>
          <w:szCs w:val="20"/>
        </w:rPr>
        <w:t xml:space="preserve">djelatnosti trgovine na malo igrama i igračkama u specijaliziranim prodavaonicama, u 2019. godini njih </w:t>
      </w:r>
      <w:r w:rsidR="0047546B">
        <w:rPr>
          <w:rFonts w:cs="Arial"/>
          <w:color w:val="17365D" w:themeColor="text2" w:themeShade="BF"/>
          <w:szCs w:val="20"/>
        </w:rPr>
        <w:t>13 (</w:t>
      </w:r>
      <w:r w:rsidR="004556B2" w:rsidRPr="000E051D">
        <w:rPr>
          <w:rFonts w:cs="Arial"/>
          <w:color w:val="17365D" w:themeColor="text2" w:themeShade="BF"/>
          <w:szCs w:val="20"/>
        </w:rPr>
        <w:t>59,1%</w:t>
      </w:r>
      <w:r w:rsidR="0047546B">
        <w:rPr>
          <w:rFonts w:cs="Arial"/>
          <w:color w:val="17365D" w:themeColor="text2" w:themeShade="BF"/>
          <w:szCs w:val="20"/>
        </w:rPr>
        <w:t>)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 poslovalo je s dobiti, dok je </w:t>
      </w:r>
      <w:r w:rsidR="0047546B">
        <w:rPr>
          <w:rFonts w:cs="Arial"/>
          <w:color w:val="17365D" w:themeColor="text2" w:themeShade="BF"/>
          <w:szCs w:val="20"/>
        </w:rPr>
        <w:t>9 (</w:t>
      </w:r>
      <w:r w:rsidR="004556B2" w:rsidRPr="000E051D">
        <w:rPr>
          <w:rFonts w:cs="Arial"/>
          <w:color w:val="17365D" w:themeColor="text2" w:themeShade="BF"/>
          <w:szCs w:val="20"/>
        </w:rPr>
        <w:t>40,9%</w:t>
      </w:r>
      <w:r w:rsidR="0047546B">
        <w:rPr>
          <w:rFonts w:cs="Arial"/>
          <w:color w:val="17365D" w:themeColor="text2" w:themeShade="BF"/>
          <w:szCs w:val="20"/>
        </w:rPr>
        <w:t>)</w:t>
      </w:r>
      <w:r w:rsidR="00B11B89" w:rsidRPr="000E051D">
        <w:rPr>
          <w:rFonts w:cs="Arial"/>
          <w:color w:val="17365D" w:themeColor="text2" w:themeShade="BF"/>
          <w:szCs w:val="20"/>
        </w:rPr>
        <w:t xml:space="preserve"> iskazalo gubitak razdoblja.</w:t>
      </w:r>
      <w:r w:rsidR="00E1424E">
        <w:rPr>
          <w:rFonts w:cs="Arial"/>
          <w:color w:val="17365D" w:themeColor="text2" w:themeShade="BF"/>
          <w:szCs w:val="20"/>
        </w:rPr>
        <w:t xml:space="preserve"> </w:t>
      </w:r>
      <w:r w:rsidR="00E1424E" w:rsidRPr="00E1424E">
        <w:rPr>
          <w:rFonts w:cs="Arial"/>
          <w:color w:val="17365D" w:themeColor="text2" w:themeShade="BF"/>
          <w:szCs w:val="20"/>
        </w:rPr>
        <w:t>U prethodnim godinama taj je omjer bio</w:t>
      </w:r>
      <w:r w:rsidR="00E1424E">
        <w:rPr>
          <w:rFonts w:cs="Arial"/>
          <w:color w:val="17365D" w:themeColor="text2" w:themeShade="BF"/>
          <w:szCs w:val="20"/>
        </w:rPr>
        <w:t xml:space="preserve"> nepovoljniji, s iznimkom 2017. godine. </w:t>
      </w:r>
    </w:p>
    <w:p w:rsidR="002640E8" w:rsidRDefault="002640E8" w:rsidP="00CF37A6">
      <w:pPr>
        <w:tabs>
          <w:tab w:val="left" w:pos="1134"/>
          <w:tab w:val="left" w:pos="8080"/>
        </w:tabs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6"/>
          <w:szCs w:val="16"/>
          <w:lang w:eastAsia="hr-HR"/>
        </w:rPr>
      </w:pPr>
      <w:r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ab/>
        <w:t>Osnovni financijski rezultati poslovanja poduzetnika u djelatnosti 47.65 – Trgovina na malo igrama i igračkama u specijaliziranim prodavaonicama</w:t>
      </w:r>
      <w:r w:rsidR="00F311D7"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za razdoblje od 20</w:t>
      </w:r>
      <w:r w:rsidR="00F311D7"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15</w:t>
      </w:r>
      <w:r w:rsidR="00A8335B"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D2525"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do </w:t>
      </w:r>
      <w:r w:rsidR="00A8335B"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201</w:t>
      </w:r>
      <w:r w:rsidR="00F311D7"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0E051D">
        <w:rPr>
          <w:rFonts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47546B">
        <w:rPr>
          <w:rFonts w:cs="Arial"/>
          <w:b/>
          <w:color w:val="17365D" w:themeColor="text2" w:themeShade="BF"/>
          <w:sz w:val="18"/>
          <w:szCs w:val="18"/>
          <w:lang w:eastAsia="hr-HR"/>
        </w:rPr>
        <w:t>od.</w:t>
      </w:r>
      <w:r w:rsidR="00F311D7" w:rsidRPr="000E051D">
        <w:rPr>
          <w:rFonts w:cs="Arial"/>
          <w:color w:val="17365D" w:themeColor="text2" w:themeShade="BF"/>
          <w:sz w:val="18"/>
          <w:szCs w:val="18"/>
          <w:lang w:eastAsia="hr-HR"/>
        </w:rPr>
        <w:t xml:space="preserve">   </w:t>
      </w:r>
      <w:r w:rsidRPr="000E051D">
        <w:rPr>
          <w:rFonts w:cs="Arial"/>
          <w:color w:val="17365D" w:themeColor="text2" w:themeShade="BF"/>
          <w:sz w:val="16"/>
          <w:szCs w:val="16"/>
          <w:lang w:eastAsia="hr-HR"/>
        </w:rPr>
        <w:t>(iznosi u tis</w:t>
      </w:r>
      <w:r w:rsidR="0047546B">
        <w:rPr>
          <w:rFonts w:cs="Arial"/>
          <w:color w:val="17365D" w:themeColor="text2" w:themeShade="BF"/>
          <w:sz w:val="16"/>
          <w:szCs w:val="16"/>
          <w:lang w:eastAsia="hr-HR"/>
        </w:rPr>
        <w:t>.</w:t>
      </w:r>
      <w:r w:rsidRPr="000E051D">
        <w:rPr>
          <w:rFonts w:cs="Arial"/>
          <w:color w:val="17365D" w:themeColor="text2" w:themeShade="BF"/>
          <w:sz w:val="16"/>
          <w:szCs w:val="16"/>
          <w:lang w:eastAsia="hr-HR"/>
        </w:rPr>
        <w:t xml:space="preserve"> kuna)</w:t>
      </w:r>
    </w:p>
    <w:tbl>
      <w:tblPr>
        <w:tblW w:w="10004" w:type="dxa"/>
        <w:jc w:val="center"/>
        <w:tblInd w:w="-1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0"/>
        <w:gridCol w:w="935"/>
        <w:gridCol w:w="935"/>
        <w:gridCol w:w="935"/>
        <w:gridCol w:w="935"/>
        <w:gridCol w:w="935"/>
        <w:gridCol w:w="909"/>
      </w:tblGrid>
      <w:tr w:rsidR="00FA20E2" w:rsidRPr="00F311D7" w:rsidTr="002E6624">
        <w:trPr>
          <w:trHeight w:val="454"/>
          <w:jc w:val="center"/>
        </w:trPr>
        <w:tc>
          <w:tcPr>
            <w:tcW w:w="442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Opis</w:t>
            </w:r>
          </w:p>
        </w:tc>
        <w:tc>
          <w:tcPr>
            <w:tcW w:w="558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Razred djelatnosti 47.65</w:t>
            </w: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br/>
            </w:r>
            <w:r w:rsidRPr="00F311D7">
              <w:rPr>
                <w:rFonts w:eastAsia="Times New Roman" w:cs="Arial"/>
                <w:color w:val="FFFFFF"/>
                <w:sz w:val="17"/>
                <w:szCs w:val="17"/>
              </w:rPr>
              <w:t>(tekuće razdoblje iz godišnjeg financijskog izvještaja)</w:t>
            </w:r>
          </w:p>
        </w:tc>
      </w:tr>
      <w:tr w:rsidR="002E6624" w:rsidRPr="00F311D7" w:rsidTr="002E6624">
        <w:trPr>
          <w:trHeight w:hRule="exact" w:val="425"/>
          <w:jc w:val="center"/>
        </w:trPr>
        <w:tc>
          <w:tcPr>
            <w:tcW w:w="442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2015.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2016.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2017.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2018.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FA20E2" w:rsidRPr="00F311D7" w:rsidRDefault="00FA20E2" w:rsidP="00BE756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F311D7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2019.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FA20E2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Indeks</w:t>
            </w:r>
          </w:p>
          <w:p w:rsidR="00FA20E2" w:rsidRPr="00F311D7" w:rsidRDefault="00FA20E2" w:rsidP="00F311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2019./15.</w:t>
            </w:r>
          </w:p>
        </w:tc>
      </w:tr>
      <w:tr w:rsidR="00BE756A" w:rsidRPr="00F311D7" w:rsidTr="006767AF">
        <w:trPr>
          <w:trHeight w:hRule="exact" w:val="283"/>
          <w:jc w:val="center"/>
        </w:trPr>
        <w:tc>
          <w:tcPr>
            <w:tcW w:w="4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Broj poduzetnika 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25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27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22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27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22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BE756A" w:rsidRDefault="00BE756A" w:rsidP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88,0</w:t>
            </w:r>
          </w:p>
        </w:tc>
      </w:tr>
      <w:tr w:rsidR="00BE756A" w:rsidRPr="00F311D7" w:rsidTr="006767AF">
        <w:trPr>
          <w:trHeight w:hRule="exact" w:val="283"/>
          <w:jc w:val="center"/>
        </w:trPr>
        <w:tc>
          <w:tcPr>
            <w:tcW w:w="4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Broj dobitaša 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12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14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14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14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BE756A" w:rsidRDefault="00BE756A" w:rsidP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108,3</w:t>
            </w:r>
          </w:p>
        </w:tc>
      </w:tr>
      <w:tr w:rsidR="00BE756A" w:rsidRPr="00F311D7" w:rsidTr="006767AF">
        <w:trPr>
          <w:trHeight w:hRule="exact" w:val="283"/>
          <w:jc w:val="center"/>
        </w:trPr>
        <w:tc>
          <w:tcPr>
            <w:tcW w:w="4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Broj gubitaša 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8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9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BE756A" w:rsidRDefault="00BE756A" w:rsidP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69,2</w:t>
            </w:r>
          </w:p>
        </w:tc>
      </w:tr>
      <w:tr w:rsidR="00BE756A" w:rsidRPr="00F311D7" w:rsidTr="006767AF">
        <w:trPr>
          <w:trHeight w:hRule="exact" w:val="283"/>
          <w:jc w:val="center"/>
        </w:trPr>
        <w:tc>
          <w:tcPr>
            <w:tcW w:w="4420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Broj zaposlenih 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150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139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119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113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119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BE756A" w:rsidP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79,3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Ukupni prihodi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53.222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52.143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41.091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49.936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40.090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75,3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Ukupni rashodi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51.970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51.603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40.655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49.865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54.745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105,3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1.640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1.379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670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824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1.097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66,9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839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753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15.752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4.057,6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Porez na dobit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129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39,0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Dobit razdoblja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1.310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1.115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582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706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968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74,0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razdoblja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839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756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15.752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4.057,7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Dobit (+) ili gubitak (-) razdoblja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921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276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349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</w:pPr>
            <w:r w:rsidRPr="00F311D7"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  <w:t>-50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</w:pPr>
            <w:r w:rsidRPr="00F311D7"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  <w:t>-14.784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B44330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-</w:t>
            </w:r>
            <w:r w:rsidR="00BE756A">
              <w:rPr>
                <w:rFonts w:cs="Arial"/>
                <w:color w:val="00325A"/>
                <w:sz w:val="18"/>
                <w:szCs w:val="18"/>
              </w:rPr>
              <w:t> 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Izvoz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3.356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2.384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1.172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4.014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162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4,8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Uvoz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5.837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2.812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3.127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610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1.366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23,4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-2.480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-428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-1.955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3.404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-1.204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48,5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Invest</w:t>
            </w:r>
            <w:r>
              <w:rPr>
                <w:rFonts w:eastAsia="Times New Roman" w:cs="Arial"/>
                <w:color w:val="00325A"/>
                <w:sz w:val="18"/>
                <w:szCs w:val="18"/>
              </w:rPr>
              <w:t>icije u novu dugotrajnu imovinu</w:t>
            </w:r>
            <w:r>
              <w:rPr>
                <w:rStyle w:val="Referencafusnote"/>
                <w:rFonts w:eastAsia="Times New Roman"/>
                <w:color w:val="00325A"/>
                <w:sz w:val="18"/>
                <w:szCs w:val="18"/>
              </w:rPr>
              <w:footnoteReference w:id="4"/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1.093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193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0,4</w:t>
            </w:r>
          </w:p>
        </w:tc>
      </w:tr>
      <w:tr w:rsidR="00BE756A" w:rsidRPr="00F311D7" w:rsidTr="00FA20E2">
        <w:trPr>
          <w:trHeight w:hRule="exact" w:val="283"/>
          <w:jc w:val="center"/>
        </w:trPr>
        <w:tc>
          <w:tcPr>
            <w:tcW w:w="4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Prosječne mjesečne neto plaće po zaposlenom (u kn)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3.088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2.892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3.161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756A" w:rsidRPr="00F311D7" w:rsidRDefault="00BE756A" w:rsidP="00F311D7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3.354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BE756A" w:rsidRPr="00F311D7" w:rsidRDefault="00BE756A" w:rsidP="00FA20E2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F311D7">
              <w:rPr>
                <w:rFonts w:eastAsia="Times New Roman" w:cs="Arial"/>
                <w:color w:val="00325A"/>
                <w:sz w:val="18"/>
                <w:szCs w:val="18"/>
              </w:rPr>
              <w:t>2.961</w:t>
            </w:r>
          </w:p>
        </w:tc>
        <w:tc>
          <w:tcPr>
            <w:tcW w:w="909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E756A" w:rsidRDefault="0057220C">
            <w:pPr>
              <w:jc w:val="right"/>
              <w:rPr>
                <w:rFonts w:cs="Arial"/>
                <w:color w:val="00325A"/>
                <w:sz w:val="18"/>
                <w:szCs w:val="18"/>
              </w:rPr>
            </w:pPr>
            <w:r>
              <w:rPr>
                <w:rFonts w:cs="Arial"/>
                <w:color w:val="00325A"/>
                <w:sz w:val="18"/>
                <w:szCs w:val="18"/>
              </w:rPr>
              <w:t>95,9</w:t>
            </w:r>
          </w:p>
        </w:tc>
      </w:tr>
    </w:tbl>
    <w:p w:rsidR="002640E8" w:rsidRPr="00A8335B" w:rsidRDefault="002640E8" w:rsidP="00DB2231">
      <w:pPr>
        <w:spacing w:before="40" w:line="269" w:lineRule="auto"/>
        <w:rPr>
          <w:color w:val="17365D" w:themeColor="text2" w:themeShade="BF"/>
        </w:rPr>
      </w:pP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CF37A6" w:rsidRDefault="00CF37A6" w:rsidP="00BE756A">
      <w:pPr>
        <w:widowControl w:val="0"/>
        <w:spacing w:before="180"/>
        <w:rPr>
          <w:rFonts w:cs="Arial"/>
          <w:color w:val="17365D"/>
          <w:szCs w:val="20"/>
        </w:rPr>
      </w:pPr>
      <w:r w:rsidRPr="00A90E6E">
        <w:rPr>
          <w:rFonts w:cs="Arial"/>
          <w:color w:val="17365D" w:themeColor="text2" w:themeShade="BF"/>
          <w:szCs w:val="20"/>
        </w:rPr>
        <w:t xml:space="preserve">Poduzetnici u </w:t>
      </w:r>
      <w:r w:rsidRPr="0046685D">
        <w:rPr>
          <w:rFonts w:cs="Arial"/>
          <w:color w:val="17365D" w:themeColor="text2" w:themeShade="BF"/>
          <w:szCs w:val="20"/>
        </w:rPr>
        <w:t>trgovin</w:t>
      </w:r>
      <w:r>
        <w:rPr>
          <w:rFonts w:cs="Arial"/>
          <w:color w:val="17365D" w:themeColor="text2" w:themeShade="BF"/>
          <w:szCs w:val="20"/>
        </w:rPr>
        <w:t>i</w:t>
      </w:r>
      <w:r w:rsidRPr="0046685D">
        <w:rPr>
          <w:rFonts w:cs="Arial"/>
          <w:color w:val="17365D" w:themeColor="text2" w:themeShade="BF"/>
          <w:szCs w:val="20"/>
        </w:rPr>
        <w:t xml:space="preserve"> na malo igrama i igračkama u specijaliziranim prodavaonicama </w:t>
      </w:r>
      <w:r w:rsidRPr="00A90E6E">
        <w:rPr>
          <w:rFonts w:cs="Arial"/>
          <w:color w:val="17365D" w:themeColor="text2" w:themeShade="BF"/>
          <w:szCs w:val="20"/>
        </w:rPr>
        <w:t xml:space="preserve">ostvarili su pozitivan konsolidirani financijski rezultat </w:t>
      </w:r>
      <w:r>
        <w:rPr>
          <w:rFonts w:cs="Arial"/>
          <w:color w:val="17365D" w:themeColor="text2" w:themeShade="BF"/>
          <w:szCs w:val="20"/>
        </w:rPr>
        <w:t xml:space="preserve">(neto dobit) </w:t>
      </w:r>
      <w:r w:rsidRPr="00A90E6E">
        <w:rPr>
          <w:rFonts w:cs="Arial"/>
          <w:color w:val="17365D" w:themeColor="text2" w:themeShade="BF"/>
          <w:szCs w:val="20"/>
        </w:rPr>
        <w:t>od 2015. do 2017. godine</w:t>
      </w:r>
      <w:r w:rsidR="000876DF">
        <w:rPr>
          <w:rFonts w:cs="Arial"/>
          <w:color w:val="17365D" w:themeColor="text2" w:themeShade="BF"/>
          <w:szCs w:val="20"/>
        </w:rPr>
        <w:t xml:space="preserve"> te </w:t>
      </w:r>
      <w:r w:rsidR="000876DF" w:rsidRPr="000876DF">
        <w:rPr>
          <w:rFonts w:cs="Arial"/>
          <w:color w:val="17365D" w:themeColor="text2" w:themeShade="BF"/>
          <w:szCs w:val="20"/>
        </w:rPr>
        <w:t xml:space="preserve">je nakratko izgledalo da je maloprodajna trgovina na malo igrama i igračkama izašla iz krize, čiji uzroci leže i u konkurenciji, internetskoj trgovini, trgovačkim i diskontnim lancima koji prodaju igračke. </w:t>
      </w:r>
      <w:r w:rsidR="0013449D">
        <w:rPr>
          <w:rFonts w:cs="Arial"/>
          <w:color w:val="17365D" w:themeColor="text2" w:themeShade="BF"/>
          <w:szCs w:val="20"/>
        </w:rPr>
        <w:t xml:space="preserve">Naime, </w:t>
      </w:r>
      <w:r w:rsidRPr="00A90E6E">
        <w:rPr>
          <w:rFonts w:cs="Arial"/>
          <w:color w:val="17365D" w:themeColor="text2" w:themeShade="BF"/>
          <w:szCs w:val="20"/>
        </w:rPr>
        <w:t xml:space="preserve">u 2018. i 2019. godini </w:t>
      </w:r>
      <w:r>
        <w:rPr>
          <w:rFonts w:cs="Arial"/>
          <w:color w:val="17365D" w:themeColor="text2" w:themeShade="BF"/>
          <w:szCs w:val="20"/>
        </w:rPr>
        <w:t xml:space="preserve">ponovno su </w:t>
      </w:r>
      <w:r w:rsidRPr="00A90E6E">
        <w:rPr>
          <w:rFonts w:cs="Arial"/>
          <w:color w:val="17365D" w:themeColor="text2" w:themeShade="BF"/>
          <w:szCs w:val="20"/>
        </w:rPr>
        <w:t>iskazali neto gubitak</w:t>
      </w:r>
      <w:r>
        <w:rPr>
          <w:rFonts w:cs="Arial"/>
          <w:color w:val="17365D" w:themeColor="text2" w:themeShade="BF"/>
          <w:szCs w:val="20"/>
        </w:rPr>
        <w:t>, kao i u razdoblju od 2011. do 2014. godine</w:t>
      </w:r>
      <w:r w:rsidRPr="00A90E6E">
        <w:rPr>
          <w:rFonts w:cs="Arial"/>
          <w:color w:val="17365D" w:themeColor="text2" w:themeShade="BF"/>
          <w:szCs w:val="20"/>
        </w:rPr>
        <w:t>. Najveći neto gubitak ostvaren je 2019. godine kada je iznosio 14,8 milijuna kuna, na što je najv</w:t>
      </w:r>
      <w:r>
        <w:rPr>
          <w:rFonts w:cs="Arial"/>
          <w:color w:val="17365D" w:themeColor="text2" w:themeShade="BF"/>
          <w:szCs w:val="20"/>
        </w:rPr>
        <w:t>iše</w:t>
      </w:r>
      <w:r w:rsidRPr="00A90E6E">
        <w:rPr>
          <w:rFonts w:cs="Arial"/>
          <w:color w:val="17365D" w:themeColor="text2" w:themeShade="BF"/>
          <w:szCs w:val="20"/>
        </w:rPr>
        <w:t xml:space="preserve"> utjeca</w:t>
      </w:r>
      <w:r>
        <w:rPr>
          <w:rFonts w:cs="Arial"/>
          <w:color w:val="17365D" w:themeColor="text2" w:themeShade="BF"/>
          <w:szCs w:val="20"/>
        </w:rPr>
        <w:t>o</w:t>
      </w:r>
      <w:r w:rsidRPr="00A90E6E">
        <w:rPr>
          <w:rFonts w:cs="Arial"/>
          <w:color w:val="17365D" w:themeColor="text2" w:themeShade="BF"/>
          <w:szCs w:val="20"/>
        </w:rPr>
        <w:t xml:space="preserve"> </w:t>
      </w:r>
      <w:r w:rsidRPr="00A90E6E">
        <w:rPr>
          <w:rFonts w:cs="Arial"/>
          <w:color w:val="17365D"/>
          <w:szCs w:val="20"/>
        </w:rPr>
        <w:t>mikro poduzetnik</w:t>
      </w:r>
      <w:r>
        <w:rPr>
          <w:rFonts w:cs="Arial"/>
          <w:color w:val="17365D"/>
          <w:szCs w:val="20"/>
        </w:rPr>
        <w:t xml:space="preserve"> bez zaposlenih, </w:t>
      </w:r>
      <w:r w:rsidRPr="00A90E6E">
        <w:rPr>
          <w:rFonts w:cs="Arial"/>
          <w:color w:val="17365D"/>
          <w:szCs w:val="20"/>
        </w:rPr>
        <w:t>one2play maloprodaja d.o.o. u stečaju</w:t>
      </w:r>
      <w:r w:rsidRPr="00A90E6E">
        <w:rPr>
          <w:rStyle w:val="Referencafusnote"/>
          <w:color w:val="17365D"/>
          <w:szCs w:val="20"/>
        </w:rPr>
        <w:footnoteReference w:id="5"/>
      </w:r>
      <w:r w:rsidRPr="00A90E6E">
        <w:rPr>
          <w:rFonts w:cs="Arial"/>
          <w:color w:val="17365D"/>
          <w:szCs w:val="20"/>
        </w:rPr>
        <w:t xml:space="preserve">, </w:t>
      </w:r>
      <w:r>
        <w:rPr>
          <w:rFonts w:cs="Arial"/>
          <w:color w:val="17365D"/>
          <w:szCs w:val="20"/>
        </w:rPr>
        <w:t xml:space="preserve">s </w:t>
      </w:r>
      <w:r w:rsidRPr="00A90E6E">
        <w:rPr>
          <w:rFonts w:cs="Arial"/>
          <w:color w:val="17365D"/>
          <w:szCs w:val="20"/>
        </w:rPr>
        <w:t>iskaza</w:t>
      </w:r>
      <w:r>
        <w:rPr>
          <w:rFonts w:cs="Arial"/>
          <w:color w:val="17365D"/>
          <w:szCs w:val="20"/>
        </w:rPr>
        <w:t>nih</w:t>
      </w:r>
      <w:r w:rsidRPr="00A90E6E">
        <w:rPr>
          <w:rFonts w:cs="Arial"/>
          <w:color w:val="17365D"/>
          <w:szCs w:val="20"/>
        </w:rPr>
        <w:t xml:space="preserve"> 15,2 milijuna kuna gubitka.</w:t>
      </w:r>
    </w:p>
    <w:p w:rsidR="00DE1B1C" w:rsidRDefault="006D4A85" w:rsidP="00467C9C">
      <w:pPr>
        <w:pageBreakBefore/>
        <w:tabs>
          <w:tab w:val="left" w:pos="1134"/>
        </w:tabs>
        <w:spacing w:after="20" w:line="240" w:lineRule="auto"/>
        <w:rPr>
          <w:rFonts w:eastAsia="Times New Roman" w:cs="Arial"/>
          <w:b/>
          <w:color w:val="17365D"/>
          <w:sz w:val="18"/>
          <w:szCs w:val="18"/>
        </w:rPr>
      </w:pPr>
      <w:r w:rsidRPr="006D4A85">
        <w:rPr>
          <w:rFonts w:eastAsia="Times New Roman" w:cs="Arial"/>
          <w:b/>
          <w:color w:val="17365D"/>
          <w:sz w:val="18"/>
          <w:szCs w:val="18"/>
        </w:rPr>
        <w:lastRenderedPageBreak/>
        <w:t>Tablica 2.</w:t>
      </w:r>
      <w:r w:rsidRPr="006D4A85">
        <w:rPr>
          <w:rFonts w:eastAsia="Times New Roman" w:cs="Arial"/>
          <w:b/>
          <w:color w:val="17365D"/>
          <w:sz w:val="18"/>
          <w:szCs w:val="18"/>
        </w:rPr>
        <w:tab/>
      </w:r>
      <w:r>
        <w:rPr>
          <w:rFonts w:eastAsia="Times New Roman" w:cs="Arial"/>
          <w:b/>
          <w:color w:val="17365D"/>
          <w:sz w:val="18"/>
          <w:szCs w:val="18"/>
        </w:rPr>
        <w:t>D</w:t>
      </w:r>
      <w:r w:rsidRPr="006D4A85">
        <w:rPr>
          <w:rFonts w:eastAsia="Times New Roman" w:cs="Arial"/>
          <w:b/>
          <w:color w:val="17365D"/>
          <w:sz w:val="18"/>
          <w:szCs w:val="18"/>
        </w:rPr>
        <w:t>obit/gubitak razdoblja</w:t>
      </w:r>
      <w:r w:rsidR="00DE1B1C" w:rsidRPr="00DE1B1C">
        <w:rPr>
          <w:rFonts w:eastAsia="Times New Roman" w:cs="Arial"/>
          <w:bCs/>
          <w:color w:val="244061"/>
          <w:sz w:val="18"/>
          <w:szCs w:val="18"/>
          <w:lang w:eastAsia="hr-HR"/>
        </w:rPr>
        <w:t xml:space="preserve"> </w:t>
      </w:r>
      <w:r w:rsidR="00DE1B1C" w:rsidRPr="00DE1B1C">
        <w:rPr>
          <w:rFonts w:eastAsia="Times New Roman" w:cs="Arial"/>
          <w:b/>
          <w:bCs/>
          <w:color w:val="244061"/>
          <w:sz w:val="18"/>
          <w:szCs w:val="18"/>
          <w:lang w:eastAsia="hr-HR"/>
        </w:rPr>
        <w:t>one2play d.o.o. i one2play maloprodaja d.o.o. u stečaju,</w:t>
      </w:r>
      <w:r w:rsidRPr="006D4A85">
        <w:rPr>
          <w:rFonts w:eastAsia="Times New Roman" w:cs="Arial"/>
          <w:b/>
          <w:color w:val="17365D"/>
          <w:sz w:val="18"/>
          <w:szCs w:val="18"/>
        </w:rPr>
        <w:t xml:space="preserve"> 201</w:t>
      </w:r>
      <w:r>
        <w:rPr>
          <w:rFonts w:eastAsia="Times New Roman" w:cs="Arial"/>
          <w:b/>
          <w:color w:val="17365D"/>
          <w:sz w:val="18"/>
          <w:szCs w:val="18"/>
        </w:rPr>
        <w:t>1</w:t>
      </w:r>
      <w:r w:rsidRPr="006D4A85">
        <w:rPr>
          <w:rFonts w:eastAsia="Times New Roman" w:cs="Arial"/>
          <w:b/>
          <w:color w:val="17365D"/>
          <w:sz w:val="18"/>
          <w:szCs w:val="18"/>
        </w:rPr>
        <w:t>.-201</w:t>
      </w:r>
      <w:r>
        <w:rPr>
          <w:rFonts w:eastAsia="Times New Roman" w:cs="Arial"/>
          <w:b/>
          <w:color w:val="17365D"/>
          <w:sz w:val="18"/>
          <w:szCs w:val="18"/>
        </w:rPr>
        <w:t>9</w:t>
      </w:r>
      <w:r w:rsidRPr="006D4A85">
        <w:rPr>
          <w:rFonts w:eastAsia="Times New Roman" w:cs="Arial"/>
          <w:b/>
          <w:color w:val="17365D"/>
          <w:sz w:val="18"/>
          <w:szCs w:val="18"/>
        </w:rPr>
        <w:t>. g</w:t>
      </w:r>
      <w:r w:rsidR="00DE1B1C">
        <w:rPr>
          <w:rFonts w:eastAsia="Times New Roman" w:cs="Arial"/>
          <w:b/>
          <w:color w:val="17365D"/>
          <w:sz w:val="18"/>
          <w:szCs w:val="18"/>
        </w:rPr>
        <w:t>.</w:t>
      </w:r>
    </w:p>
    <w:p w:rsidR="006D4A85" w:rsidRPr="006D4A85" w:rsidRDefault="006D4A85" w:rsidP="00DE1B1C">
      <w:pPr>
        <w:tabs>
          <w:tab w:val="left" w:pos="1134"/>
        </w:tabs>
        <w:spacing w:before="20" w:after="20" w:line="240" w:lineRule="auto"/>
        <w:jc w:val="right"/>
        <w:rPr>
          <w:rFonts w:eastAsia="Times New Roman" w:cs="Arial"/>
          <w:i/>
          <w:color w:val="17365D"/>
          <w:sz w:val="16"/>
          <w:szCs w:val="16"/>
        </w:rPr>
      </w:pPr>
      <w:r w:rsidRPr="006D4A85">
        <w:rPr>
          <w:rFonts w:eastAsia="Times New Roman" w:cs="Arial"/>
          <w:i/>
          <w:color w:val="17365D"/>
          <w:sz w:val="16"/>
          <w:szCs w:val="16"/>
        </w:rPr>
        <w:t>(iznosi u tis</w:t>
      </w:r>
      <w:r>
        <w:rPr>
          <w:rFonts w:eastAsia="Times New Roman" w:cs="Arial"/>
          <w:i/>
          <w:color w:val="17365D"/>
          <w:sz w:val="16"/>
          <w:szCs w:val="16"/>
        </w:rPr>
        <w:t>ućama</w:t>
      </w:r>
      <w:r w:rsidRPr="006D4A85">
        <w:rPr>
          <w:rFonts w:eastAsia="Times New Roman" w:cs="Arial"/>
          <w:i/>
          <w:color w:val="17365D"/>
          <w:sz w:val="16"/>
          <w:szCs w:val="16"/>
        </w:rPr>
        <w:t>. kuna)</w:t>
      </w:r>
    </w:p>
    <w:tbl>
      <w:tblPr>
        <w:tblW w:w="9951" w:type="dxa"/>
        <w:jc w:val="center"/>
        <w:tblInd w:w="86" w:type="dxa"/>
        <w:tblLayout w:type="fixed"/>
        <w:tblLook w:val="00A0" w:firstRow="1" w:lastRow="0" w:firstColumn="1" w:lastColumn="0" w:noHBand="0" w:noVBand="0"/>
      </w:tblPr>
      <w:tblGrid>
        <w:gridCol w:w="2805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67C9C" w:rsidRPr="006D4A85" w:rsidTr="00504F1B">
        <w:trPr>
          <w:trHeight w:val="283"/>
          <w:tblHeader/>
          <w:jc w:val="center"/>
        </w:trPr>
        <w:tc>
          <w:tcPr>
            <w:tcW w:w="28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6D4A85" w:rsidRPr="006D4A85" w:rsidRDefault="006D4A85" w:rsidP="0013449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D4A85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D4A85" w:rsidRPr="006D4A85" w:rsidRDefault="006D4A85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2019.</w:t>
            </w:r>
          </w:p>
        </w:tc>
      </w:tr>
      <w:tr w:rsidR="00467C9C" w:rsidRPr="006D4A85" w:rsidTr="005A73F8">
        <w:trPr>
          <w:trHeight w:val="255"/>
          <w:jc w:val="center"/>
        </w:trPr>
        <w:tc>
          <w:tcPr>
            <w:tcW w:w="2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D4A85" w:rsidRPr="006D4A85" w:rsidRDefault="006D4A85" w:rsidP="00216A58">
            <w:pPr>
              <w:spacing w:line="240" w:lineRule="auto"/>
              <w:ind w:left="-57" w:right="-57"/>
              <w:jc w:val="left"/>
              <w:rPr>
                <w:rFonts w:eastAsia="Times New Roman" w:cs="Arial"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Cs/>
                <w:color w:val="244061"/>
                <w:sz w:val="18"/>
                <w:szCs w:val="18"/>
                <w:lang w:eastAsia="hr-HR"/>
              </w:rPr>
              <w:t>one2play d.o.o.</w:t>
            </w:r>
            <w:r w:rsidR="0013449D">
              <w:rPr>
                <w:rStyle w:val="Referencafusnote"/>
                <w:rFonts w:eastAsia="Times New Roman"/>
                <w:bCs/>
                <w:color w:val="244061"/>
                <w:sz w:val="18"/>
                <w:szCs w:val="18"/>
                <w:lang w:eastAsia="hr-HR"/>
              </w:rPr>
              <w:footnoteReference w:id="6"/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D4A85" w:rsidRPr="006D4A85" w:rsidRDefault="006D4A85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6D4A85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-2.227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D4A85" w:rsidRPr="006D4A85" w:rsidRDefault="006D4A85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6D4A85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-24.725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D4A85" w:rsidRPr="006D4A85" w:rsidRDefault="006D4A85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6D4A85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-8.794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D4A85" w:rsidRPr="006D4A85" w:rsidRDefault="006D4A85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6D4A85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-1.099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D4A85" w:rsidRPr="006D4A85" w:rsidRDefault="006D4A85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6D4A85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-10.936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D4A85" w:rsidRPr="006D4A85" w:rsidRDefault="006D4A85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6D4A85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-108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D4A85" w:rsidRPr="00C34D84" w:rsidRDefault="006D4A85" w:rsidP="005A73F8">
            <w:pPr>
              <w:spacing w:line="240" w:lineRule="auto"/>
              <w:ind w:left="-57" w:right="-57"/>
              <w:jc w:val="center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D4A85" w:rsidRPr="00C34D84" w:rsidRDefault="006D4A85" w:rsidP="005A73F8">
            <w:pPr>
              <w:spacing w:line="240" w:lineRule="auto"/>
              <w:ind w:left="-57" w:right="-57"/>
              <w:jc w:val="center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6D4A85" w:rsidRPr="00C34D84" w:rsidRDefault="006D4A85" w:rsidP="005A73F8">
            <w:pPr>
              <w:spacing w:line="240" w:lineRule="auto"/>
              <w:ind w:left="-57" w:right="-57"/>
              <w:jc w:val="center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216A58" w:rsidRPr="00216A58" w:rsidTr="005A73F8">
        <w:trPr>
          <w:trHeight w:val="255"/>
          <w:jc w:val="center"/>
        </w:trPr>
        <w:tc>
          <w:tcPr>
            <w:tcW w:w="2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16A58" w:rsidRDefault="00216A58" w:rsidP="00216A58">
            <w:pPr>
              <w:spacing w:line="240" w:lineRule="auto"/>
              <w:ind w:left="-57" w:right="-57"/>
              <w:jc w:val="left"/>
              <w:rPr>
                <w:rFonts w:eastAsia="Times New Roman" w:cs="Arial"/>
                <w:bCs/>
                <w:color w:val="244061"/>
                <w:sz w:val="18"/>
                <w:szCs w:val="18"/>
                <w:lang w:eastAsia="hr-HR"/>
              </w:rPr>
            </w:pPr>
            <w:r w:rsidRPr="0013449D">
              <w:rPr>
                <w:rFonts w:eastAsia="Times New Roman" w:cs="Arial"/>
                <w:bCs/>
                <w:color w:val="244061"/>
                <w:sz w:val="18"/>
                <w:szCs w:val="18"/>
                <w:lang w:eastAsia="hr-HR"/>
              </w:rPr>
              <w:t>one2play maloprodaja</w:t>
            </w:r>
            <w:r>
              <w:rPr>
                <w:rFonts w:eastAsia="Times New Roman" w:cs="Arial"/>
                <w:bCs/>
                <w:color w:val="244061"/>
                <w:sz w:val="18"/>
                <w:szCs w:val="18"/>
                <w:lang w:eastAsia="hr-HR"/>
              </w:rPr>
              <w:t xml:space="preserve"> </w:t>
            </w:r>
            <w:r w:rsidRPr="0013449D">
              <w:rPr>
                <w:rFonts w:eastAsia="Times New Roman" w:cs="Arial"/>
                <w:bCs/>
                <w:color w:val="244061"/>
                <w:sz w:val="18"/>
                <w:szCs w:val="18"/>
                <w:lang w:eastAsia="hr-HR"/>
              </w:rPr>
              <w:t>d.o.o. u stečaju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16A58" w:rsidRPr="00C34D84" w:rsidRDefault="00504F1B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16A58" w:rsidRPr="00C34D84" w:rsidRDefault="005A648A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1.647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216A58" w:rsidRPr="00C34D84" w:rsidRDefault="005A648A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-9.164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216A58" w:rsidRPr="00C34D84" w:rsidRDefault="005A648A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-9.164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216A58" w:rsidRPr="00C34D84" w:rsidRDefault="005A648A" w:rsidP="005A73F8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</w:rPr>
              <w:t>-994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216A58" w:rsidRPr="00C34D84" w:rsidRDefault="00216A58" w:rsidP="005A73F8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cs="Arial"/>
                <w:color w:val="244061" w:themeColor="accent1" w:themeShade="80"/>
                <w:sz w:val="18"/>
                <w:szCs w:val="18"/>
              </w:rPr>
              <w:t>- 524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16A58" w:rsidRPr="00C34D84" w:rsidRDefault="00216A58" w:rsidP="005A73F8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cs="Arial"/>
                <w:color w:val="244061" w:themeColor="accent1" w:themeShade="80"/>
                <w:sz w:val="18"/>
                <w:szCs w:val="18"/>
              </w:rPr>
              <w:t>- 6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16A58" w:rsidRPr="00C34D84" w:rsidRDefault="00216A58" w:rsidP="005A73F8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cs="Arial"/>
                <w:color w:val="244061" w:themeColor="accent1" w:themeShade="80"/>
                <w:sz w:val="18"/>
                <w:szCs w:val="18"/>
              </w:rPr>
              <w:t>- 2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16A58" w:rsidRPr="00C34D84" w:rsidRDefault="00216A58" w:rsidP="005A73F8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C34D84">
              <w:rPr>
                <w:rFonts w:cs="Arial"/>
                <w:color w:val="244061" w:themeColor="accent1" w:themeShade="80"/>
                <w:sz w:val="18"/>
                <w:szCs w:val="18"/>
              </w:rPr>
              <w:t>- 15.234</w:t>
            </w:r>
          </w:p>
        </w:tc>
      </w:tr>
    </w:tbl>
    <w:p w:rsidR="006D4A85" w:rsidRPr="006D4A85" w:rsidRDefault="006D4A85" w:rsidP="006D4A85">
      <w:pPr>
        <w:spacing w:before="40"/>
        <w:rPr>
          <w:rFonts w:eastAsia="Times New Roman"/>
          <w:color w:val="244061"/>
        </w:rPr>
      </w:pPr>
      <w:r w:rsidRPr="006D4A85">
        <w:rPr>
          <w:rFonts w:eastAsia="Times New Roman" w:cs="Arial"/>
          <w:i/>
          <w:color w:val="244061"/>
          <w:sz w:val="16"/>
          <w:szCs w:val="16"/>
          <w:lang w:eastAsia="hr-HR"/>
        </w:rPr>
        <w:t>Izvor: Fina – Registar godišnjih financijskih izvještaja</w:t>
      </w:r>
    </w:p>
    <w:p w:rsidR="00CF37A6" w:rsidRDefault="00CF37A6" w:rsidP="002B1907">
      <w:pPr>
        <w:widowControl w:val="0"/>
        <w:spacing w:before="180" w:line="274" w:lineRule="auto"/>
        <w:rPr>
          <w:rFonts w:cs="Arial"/>
          <w:color w:val="17365D" w:themeColor="text2" w:themeShade="BF"/>
          <w:szCs w:val="20"/>
        </w:rPr>
      </w:pPr>
      <w:r w:rsidRPr="00A90E6E">
        <w:rPr>
          <w:rFonts w:cs="Arial"/>
          <w:color w:val="17365D"/>
          <w:szCs w:val="20"/>
        </w:rPr>
        <w:t>Na negativan konsolidirani financijski rezultat u 2018. godini najviše je utjecao rezultat društava:</w:t>
      </w:r>
      <w:r w:rsidR="009424A9" w:rsidRPr="009424A9">
        <w:rPr>
          <w:rFonts w:cs="Arial"/>
          <w:color w:val="17365D"/>
          <w:szCs w:val="20"/>
        </w:rPr>
        <w:t xml:space="preserve"> </w:t>
      </w:r>
      <w:r w:rsidR="009424A9" w:rsidRPr="00A90E6E">
        <w:rPr>
          <w:rFonts w:cs="Arial"/>
          <w:color w:val="17365D"/>
          <w:szCs w:val="20"/>
        </w:rPr>
        <w:t>PRODIS MALOPRODAJA d.o.o. u stečaju</w:t>
      </w:r>
      <w:r w:rsidR="009424A9">
        <w:rPr>
          <w:rStyle w:val="Referencafusnote"/>
          <w:color w:val="17365D"/>
          <w:szCs w:val="20"/>
        </w:rPr>
        <w:footnoteReference w:id="7"/>
      </w:r>
      <w:r w:rsidR="009424A9" w:rsidRPr="00A90E6E">
        <w:rPr>
          <w:rFonts w:cs="Arial"/>
          <w:color w:val="17365D"/>
          <w:szCs w:val="20"/>
        </w:rPr>
        <w:t xml:space="preserve"> </w:t>
      </w:r>
      <w:r w:rsidR="009424A9">
        <w:rPr>
          <w:rFonts w:cs="Arial"/>
          <w:color w:val="17365D"/>
          <w:szCs w:val="20"/>
        </w:rPr>
        <w:t xml:space="preserve">(gubitak </w:t>
      </w:r>
      <w:r w:rsidR="009424A9">
        <w:rPr>
          <w:rFonts w:cs="Arial"/>
          <w:color w:val="3E3E3E"/>
          <w:sz w:val="21"/>
          <w:szCs w:val="21"/>
        </w:rPr>
        <w:t>269.872</w:t>
      </w:r>
      <w:r w:rsidR="009424A9" w:rsidRPr="00A90E6E">
        <w:rPr>
          <w:rFonts w:cs="Arial"/>
          <w:color w:val="17365D"/>
          <w:szCs w:val="20"/>
        </w:rPr>
        <w:t xml:space="preserve"> </w:t>
      </w:r>
      <w:r w:rsidR="009424A9">
        <w:rPr>
          <w:rFonts w:cs="Arial"/>
          <w:color w:val="17365D"/>
          <w:szCs w:val="20"/>
        </w:rPr>
        <w:t>kn),</w:t>
      </w:r>
      <w:r w:rsidRPr="00A90E6E">
        <w:rPr>
          <w:rFonts w:cs="Arial"/>
          <w:color w:val="17365D"/>
          <w:szCs w:val="20"/>
        </w:rPr>
        <w:t xml:space="preserve"> </w:t>
      </w:r>
      <w:r w:rsidR="005A73F8">
        <w:rPr>
          <w:rFonts w:cs="Arial"/>
          <w:color w:val="17365D"/>
          <w:szCs w:val="20"/>
        </w:rPr>
        <w:t>P. MAXI d.o.o. u stečaju</w:t>
      </w:r>
      <w:r w:rsidR="00387AD7">
        <w:rPr>
          <w:rStyle w:val="Referencafusnote"/>
          <w:color w:val="17365D"/>
          <w:szCs w:val="20"/>
        </w:rPr>
        <w:footnoteReference w:id="8"/>
      </w:r>
      <w:r w:rsidR="009424A9" w:rsidRPr="009424A9">
        <w:t xml:space="preserve"> </w:t>
      </w:r>
      <w:r w:rsidR="009424A9">
        <w:t xml:space="preserve">(gubitak </w:t>
      </w:r>
      <w:r w:rsidR="009424A9" w:rsidRPr="009424A9">
        <w:rPr>
          <w:rFonts w:cs="Arial"/>
          <w:color w:val="17365D"/>
          <w:szCs w:val="20"/>
        </w:rPr>
        <w:t>154.354 kn</w:t>
      </w:r>
      <w:r w:rsidR="009424A9">
        <w:rPr>
          <w:rFonts w:cs="Arial"/>
          <w:color w:val="17365D"/>
          <w:szCs w:val="20"/>
        </w:rPr>
        <w:t>)</w:t>
      </w:r>
      <w:r w:rsidR="005A73F8">
        <w:rPr>
          <w:rFonts w:cs="Arial"/>
          <w:color w:val="17365D"/>
          <w:szCs w:val="20"/>
        </w:rPr>
        <w:t xml:space="preserve"> </w:t>
      </w:r>
      <w:r w:rsidRPr="00A90E6E">
        <w:rPr>
          <w:rFonts w:cs="Arial"/>
          <w:color w:val="17365D"/>
          <w:szCs w:val="20"/>
        </w:rPr>
        <w:t>i TOYS4PLAY d.o.o.</w:t>
      </w:r>
      <w:r w:rsidR="00387AD7">
        <w:rPr>
          <w:rFonts w:cs="Arial"/>
          <w:color w:val="17365D"/>
          <w:szCs w:val="20"/>
        </w:rPr>
        <w:t xml:space="preserve"> u stečaju</w:t>
      </w:r>
      <w:r w:rsidR="00387AD7">
        <w:rPr>
          <w:rStyle w:val="Referencafusnote"/>
          <w:color w:val="17365D"/>
          <w:szCs w:val="20"/>
        </w:rPr>
        <w:footnoteReference w:id="9"/>
      </w:r>
      <w:r w:rsidRPr="00A90E6E">
        <w:rPr>
          <w:rFonts w:cs="Arial"/>
          <w:color w:val="17365D"/>
          <w:szCs w:val="20"/>
        </w:rPr>
        <w:t xml:space="preserve"> </w:t>
      </w:r>
      <w:r w:rsidR="009424A9">
        <w:rPr>
          <w:rFonts w:cs="Arial"/>
          <w:color w:val="17365D"/>
          <w:szCs w:val="20"/>
        </w:rPr>
        <w:t xml:space="preserve">(gubitak </w:t>
      </w:r>
      <w:r w:rsidR="005A73F8" w:rsidRPr="005A73F8">
        <w:rPr>
          <w:rFonts w:cs="Arial"/>
          <w:color w:val="17365D"/>
          <w:szCs w:val="20"/>
        </w:rPr>
        <w:t>144.779 kn</w:t>
      </w:r>
      <w:r w:rsidR="009424A9">
        <w:rPr>
          <w:rFonts w:cs="Arial"/>
          <w:color w:val="17365D"/>
          <w:szCs w:val="20"/>
        </w:rPr>
        <w:t>).</w:t>
      </w:r>
      <w:r w:rsidR="005A73F8" w:rsidRPr="005A73F8">
        <w:rPr>
          <w:rFonts w:cs="Arial"/>
          <w:color w:val="17365D"/>
          <w:szCs w:val="20"/>
        </w:rPr>
        <w:t xml:space="preserve"> </w:t>
      </w:r>
    </w:p>
    <w:p w:rsidR="00E1566D" w:rsidRDefault="00E1566D" w:rsidP="00ED63FD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color w:val="17365D" w:themeColor="text2" w:themeShade="BF"/>
          <w:sz w:val="16"/>
          <w:szCs w:val="16"/>
        </w:rPr>
      </w:pPr>
      <w:r w:rsidRPr="00464666">
        <w:rPr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D02C44">
        <w:rPr>
          <w:b/>
          <w:color w:val="17365D" w:themeColor="text2" w:themeShade="BF"/>
          <w:sz w:val="18"/>
          <w:szCs w:val="18"/>
          <w:lang w:eastAsia="hr-HR"/>
        </w:rPr>
        <w:t>3</w:t>
      </w:r>
      <w:r w:rsidR="003A4624" w:rsidRPr="00464666">
        <w:rPr>
          <w:b/>
          <w:color w:val="17365D" w:themeColor="text2" w:themeShade="BF"/>
          <w:sz w:val="18"/>
          <w:szCs w:val="18"/>
          <w:lang w:eastAsia="hr-HR"/>
        </w:rPr>
        <w:t>.</w:t>
      </w:r>
      <w:r w:rsidR="003A4624" w:rsidRPr="00464666">
        <w:rPr>
          <w:b/>
          <w:color w:val="17365D" w:themeColor="text2" w:themeShade="BF"/>
          <w:sz w:val="18"/>
          <w:szCs w:val="18"/>
          <w:lang w:eastAsia="hr-HR"/>
        </w:rPr>
        <w:tab/>
        <w:t>Top pet</w:t>
      </w:r>
      <w:r w:rsidRPr="00464666">
        <w:rPr>
          <w:b/>
          <w:color w:val="17365D" w:themeColor="text2" w:themeShade="BF"/>
          <w:sz w:val="18"/>
          <w:szCs w:val="18"/>
          <w:lang w:eastAsia="hr-HR"/>
        </w:rPr>
        <w:t xml:space="preserve"> poduzetnika po ukupn</w:t>
      </w:r>
      <w:r w:rsidR="00467C9C">
        <w:rPr>
          <w:b/>
          <w:color w:val="17365D" w:themeColor="text2" w:themeShade="BF"/>
          <w:sz w:val="18"/>
          <w:szCs w:val="18"/>
          <w:lang w:eastAsia="hr-HR"/>
        </w:rPr>
        <w:t>im</w:t>
      </w:r>
      <w:r w:rsidRPr="00464666">
        <w:rPr>
          <w:b/>
          <w:color w:val="17365D" w:themeColor="text2" w:themeShade="BF"/>
          <w:sz w:val="18"/>
          <w:szCs w:val="18"/>
          <w:lang w:eastAsia="hr-HR"/>
        </w:rPr>
        <w:t xml:space="preserve"> prihod</w:t>
      </w:r>
      <w:r w:rsidR="00467C9C">
        <w:rPr>
          <w:b/>
          <w:color w:val="17365D" w:themeColor="text2" w:themeShade="BF"/>
          <w:sz w:val="18"/>
          <w:szCs w:val="18"/>
          <w:lang w:eastAsia="hr-HR"/>
        </w:rPr>
        <w:t>ima</w:t>
      </w:r>
      <w:r w:rsidRPr="00464666">
        <w:rPr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3A4624" w:rsidRPr="00464666">
        <w:rPr>
          <w:b/>
          <w:color w:val="17365D" w:themeColor="text2" w:themeShade="BF"/>
          <w:sz w:val="18"/>
          <w:szCs w:val="18"/>
          <w:lang w:eastAsia="hr-HR"/>
        </w:rPr>
        <w:t>9</w:t>
      </w:r>
      <w:r w:rsidRPr="00464666">
        <w:rPr>
          <w:b/>
          <w:color w:val="17365D" w:themeColor="text2" w:themeShade="BF"/>
          <w:sz w:val="18"/>
          <w:szCs w:val="18"/>
          <w:lang w:eastAsia="hr-HR"/>
        </w:rPr>
        <w:t>. g. u razredu dj</w:t>
      </w:r>
      <w:bookmarkStart w:id="0" w:name="_GoBack"/>
      <w:bookmarkEnd w:id="0"/>
      <w:r w:rsidRPr="00464666">
        <w:rPr>
          <w:b/>
          <w:color w:val="17365D" w:themeColor="text2" w:themeShade="BF"/>
          <w:sz w:val="18"/>
          <w:szCs w:val="18"/>
          <w:lang w:eastAsia="hr-HR"/>
        </w:rPr>
        <w:t>elatnosti 47.65</w:t>
      </w:r>
      <w:r w:rsidRPr="00464666">
        <w:rPr>
          <w:b/>
          <w:color w:val="17365D" w:themeColor="text2" w:themeShade="BF"/>
          <w:sz w:val="19"/>
          <w:szCs w:val="19"/>
          <w:lang w:eastAsia="hr-HR"/>
        </w:rPr>
        <w:tab/>
      </w:r>
      <w:r w:rsidR="003A4624" w:rsidRPr="00464666">
        <w:rPr>
          <w:b/>
          <w:color w:val="17365D" w:themeColor="text2" w:themeShade="BF"/>
          <w:sz w:val="19"/>
          <w:szCs w:val="19"/>
          <w:lang w:eastAsia="hr-HR"/>
        </w:rPr>
        <w:t xml:space="preserve">  </w:t>
      </w:r>
      <w:r w:rsidRPr="00464666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88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"/>
        <w:gridCol w:w="1361"/>
        <w:gridCol w:w="3572"/>
        <w:gridCol w:w="1062"/>
        <w:gridCol w:w="16"/>
        <w:gridCol w:w="1109"/>
        <w:gridCol w:w="16"/>
        <w:gridCol w:w="1097"/>
        <w:gridCol w:w="16"/>
        <w:gridCol w:w="1104"/>
        <w:gridCol w:w="15"/>
      </w:tblGrid>
      <w:tr w:rsidR="00467C9C" w:rsidRPr="003A4624" w:rsidTr="00467C9C">
        <w:trPr>
          <w:gridAfter w:val="1"/>
          <w:wAfter w:w="15" w:type="dxa"/>
          <w:trHeight w:hRule="exact" w:val="437"/>
          <w:tblHeader/>
          <w:jc w:val="center"/>
        </w:trPr>
        <w:tc>
          <w:tcPr>
            <w:tcW w:w="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3A4624" w:rsidP="00ED63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R</w:t>
            </w:r>
            <w:r w:rsidR="00ED63F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ang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5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ED63FD" w:rsidP="003A46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12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11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3A4624" w:rsidP="00ED63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Ukup</w:t>
            </w:r>
            <w:r w:rsidR="00ED63F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ni</w:t>
            </w: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 xml:space="preserve"> prihod</w:t>
            </w:r>
            <w:r w:rsidR="00ED63FD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1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3A4624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</w:tr>
      <w:tr w:rsidR="00467C9C" w:rsidRPr="003A4624" w:rsidTr="00467C9C">
        <w:trPr>
          <w:gridAfter w:val="1"/>
          <w:wAfter w:w="15" w:type="dxa"/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00325A"/>
                <w:sz w:val="18"/>
                <w:szCs w:val="18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44225131109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EUROM DENIS MALOPRODAJA d.o.o.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68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25.641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18</w:t>
            </w:r>
          </w:p>
        </w:tc>
      </w:tr>
      <w:tr w:rsidR="00467C9C" w:rsidRPr="003A4624" w:rsidTr="00467C9C">
        <w:trPr>
          <w:gridAfter w:val="1"/>
          <w:wAfter w:w="15" w:type="dxa"/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72438732598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INTEKS PROMET d.o.o.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4.168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191</w:t>
            </w:r>
          </w:p>
        </w:tc>
      </w:tr>
      <w:tr w:rsidR="00467C9C" w:rsidRPr="003A4624" w:rsidTr="00467C9C">
        <w:trPr>
          <w:gridAfter w:val="1"/>
          <w:wAfter w:w="15" w:type="dxa"/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98327101901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B100 d.o.o.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Dugo Selo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14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2.062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246</w:t>
            </w:r>
          </w:p>
        </w:tc>
      </w:tr>
      <w:tr w:rsidR="00467C9C" w:rsidRPr="003A4624" w:rsidTr="00467C9C">
        <w:trPr>
          <w:gridAfter w:val="1"/>
          <w:wAfter w:w="15" w:type="dxa"/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35738990355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KVORUM d.o.o.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Novalja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1.924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109</w:t>
            </w:r>
          </w:p>
        </w:tc>
      </w:tr>
      <w:tr w:rsidR="00467C9C" w:rsidRPr="003A4624" w:rsidTr="00467C9C">
        <w:trPr>
          <w:gridAfter w:val="1"/>
          <w:wAfter w:w="15" w:type="dxa"/>
          <w:trHeight w:hRule="exact" w:val="283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86371887921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ĐOĐO j.d.o.o.</w:t>
            </w:r>
            <w:r w:rsidR="00DE1B1C">
              <w:rPr>
                <w:rStyle w:val="Referencafusnote"/>
                <w:rFonts w:eastAsia="Times New Roman"/>
                <w:color w:val="17365D"/>
                <w:sz w:val="18"/>
                <w:szCs w:val="18"/>
              </w:rPr>
              <w:footnoteReference w:id="10"/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Poreč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1.426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3A4624">
              <w:rPr>
                <w:rFonts w:eastAsia="Times New Roman" w:cs="Arial"/>
                <w:color w:val="17365D"/>
                <w:sz w:val="18"/>
                <w:szCs w:val="18"/>
              </w:rPr>
              <w:t>28</w:t>
            </w:r>
          </w:p>
        </w:tc>
      </w:tr>
      <w:tr w:rsidR="003A4624" w:rsidRPr="003A4624" w:rsidTr="00467C9C">
        <w:trPr>
          <w:trHeight w:hRule="exact" w:val="283"/>
          <w:jc w:val="center"/>
        </w:trPr>
        <w:tc>
          <w:tcPr>
            <w:tcW w:w="652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Ukupno top pet</w:t>
            </w:r>
            <w:r w:rsidR="00D224E2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 xml:space="preserve"> poduzetnika</w:t>
            </w:r>
          </w:p>
        </w:tc>
        <w:tc>
          <w:tcPr>
            <w:tcW w:w="112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35.222</w:t>
            </w:r>
          </w:p>
        </w:tc>
        <w:tc>
          <w:tcPr>
            <w:tcW w:w="111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592</w:t>
            </w:r>
          </w:p>
        </w:tc>
      </w:tr>
      <w:tr w:rsidR="003A4624" w:rsidRPr="003A4624" w:rsidTr="00467C9C">
        <w:trPr>
          <w:trHeight w:hRule="exact" w:val="283"/>
          <w:jc w:val="center"/>
        </w:trPr>
        <w:tc>
          <w:tcPr>
            <w:tcW w:w="6525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Ukupno svi poduzetnici NKD 47.65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119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40.090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968</w:t>
            </w:r>
          </w:p>
        </w:tc>
      </w:tr>
      <w:tr w:rsidR="003A4624" w:rsidRPr="003A4624" w:rsidTr="00467C9C">
        <w:trPr>
          <w:trHeight w:hRule="exact" w:val="283"/>
          <w:jc w:val="center"/>
        </w:trPr>
        <w:tc>
          <w:tcPr>
            <w:tcW w:w="652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Udio top pet poduzetnika u razredu djelatnosti NKD 47.65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84,0%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87,9%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3A4624" w:rsidRPr="003A4624" w:rsidRDefault="003A4624" w:rsidP="003A4624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3A4624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61,2%</w:t>
            </w:r>
          </w:p>
        </w:tc>
      </w:tr>
    </w:tbl>
    <w:p w:rsidR="00E1566D" w:rsidRPr="00970E52" w:rsidRDefault="00E1566D" w:rsidP="00DB2231">
      <w:pPr>
        <w:spacing w:before="40" w:line="269" w:lineRule="auto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ED63FD" w:rsidRPr="00D53A5E" w:rsidRDefault="00ED63FD" w:rsidP="00467C9C">
      <w:pPr>
        <w:spacing w:before="180" w:line="274" w:lineRule="auto"/>
        <w:rPr>
          <w:rFonts w:cs="Arial"/>
          <w:color w:val="17365D" w:themeColor="text2" w:themeShade="BF"/>
          <w:szCs w:val="20"/>
        </w:rPr>
      </w:pPr>
      <w:r w:rsidRPr="000E051D">
        <w:rPr>
          <w:rFonts w:cs="Arial"/>
          <w:color w:val="17365D" w:themeColor="text2" w:themeShade="BF"/>
          <w:szCs w:val="20"/>
        </w:rPr>
        <w:t>Među 22 poduzetnika u djelatnosti trgovine na malo igrama i igračkama u specijaliziranim prodavaonicama u 2019. godini</w:t>
      </w:r>
      <w:r>
        <w:rPr>
          <w:rFonts w:cs="Arial"/>
          <w:color w:val="17365D" w:themeColor="text2" w:themeShade="BF"/>
          <w:szCs w:val="20"/>
        </w:rPr>
        <w:t xml:space="preserve"> i u cijelom </w:t>
      </w:r>
      <w:r w:rsidRPr="000E051D">
        <w:rPr>
          <w:rFonts w:cs="Arial"/>
          <w:color w:val="17365D" w:themeColor="text2" w:themeShade="BF"/>
          <w:szCs w:val="20"/>
        </w:rPr>
        <w:t>promatranom razdoblju, najveć</w:t>
      </w:r>
      <w:r>
        <w:rPr>
          <w:rFonts w:cs="Arial"/>
          <w:color w:val="17365D" w:themeColor="text2" w:themeShade="BF"/>
          <w:szCs w:val="20"/>
        </w:rPr>
        <w:t>e ukupne</w:t>
      </w:r>
      <w:r w:rsidRPr="000E051D">
        <w:rPr>
          <w:rFonts w:cs="Arial"/>
          <w:color w:val="17365D" w:themeColor="text2" w:themeShade="BF"/>
          <w:szCs w:val="20"/>
        </w:rPr>
        <w:t xml:space="preserve"> prihod</w:t>
      </w:r>
      <w:r>
        <w:rPr>
          <w:rFonts w:cs="Arial"/>
          <w:color w:val="17365D" w:themeColor="text2" w:themeShade="BF"/>
          <w:szCs w:val="20"/>
        </w:rPr>
        <w:t>e</w:t>
      </w:r>
      <w:r w:rsidRPr="000E051D">
        <w:rPr>
          <w:rFonts w:cs="Arial"/>
          <w:color w:val="17365D" w:themeColor="text2" w:themeShade="BF"/>
          <w:szCs w:val="20"/>
        </w:rPr>
        <w:t xml:space="preserve"> ostvario je mali poduzetnik EUROM DENIS MALOPRODAJA d.o.o. iz Zagreba</w:t>
      </w:r>
      <w:r>
        <w:rPr>
          <w:rFonts w:cs="Arial"/>
          <w:color w:val="17365D" w:themeColor="text2" w:themeShade="BF"/>
          <w:szCs w:val="20"/>
        </w:rPr>
        <w:t xml:space="preserve"> </w:t>
      </w:r>
      <w:r w:rsidRPr="00E1424E">
        <w:rPr>
          <w:rFonts w:cs="Arial"/>
          <w:color w:val="17365D" w:themeColor="text2" w:themeShade="BF"/>
          <w:szCs w:val="20"/>
        </w:rPr>
        <w:t>(25,6 milijuna kuna)</w:t>
      </w:r>
      <w:r w:rsidRPr="000E051D">
        <w:rPr>
          <w:rFonts w:cs="Arial"/>
          <w:color w:val="17365D" w:themeColor="text2" w:themeShade="BF"/>
          <w:szCs w:val="20"/>
        </w:rPr>
        <w:t xml:space="preserve">, što je 64,0% ukupnih prihoda promatrane </w:t>
      </w:r>
      <w:r w:rsidRPr="00464666">
        <w:rPr>
          <w:rFonts w:cs="Arial"/>
          <w:color w:val="17365D" w:themeColor="text2" w:themeShade="BF"/>
          <w:szCs w:val="20"/>
        </w:rPr>
        <w:t xml:space="preserve">djelatnosti. Navedeno društvo </w:t>
      </w:r>
      <w:r>
        <w:rPr>
          <w:rFonts w:cs="Arial"/>
          <w:color w:val="17365D" w:themeColor="text2" w:themeShade="BF"/>
          <w:szCs w:val="20"/>
        </w:rPr>
        <w:t xml:space="preserve">imalo </w:t>
      </w:r>
      <w:r w:rsidRPr="00464666">
        <w:rPr>
          <w:rFonts w:cs="Arial"/>
          <w:color w:val="17365D" w:themeColor="text2" w:themeShade="BF"/>
          <w:szCs w:val="20"/>
        </w:rPr>
        <w:t xml:space="preserve">je i najveći broj </w:t>
      </w:r>
      <w:r w:rsidR="002B1907">
        <w:rPr>
          <w:rFonts w:cs="Arial"/>
          <w:color w:val="17365D" w:themeColor="text2" w:themeShade="BF"/>
          <w:szCs w:val="20"/>
        </w:rPr>
        <w:t>zaposlenih</w:t>
      </w:r>
      <w:r w:rsidRPr="00464666">
        <w:rPr>
          <w:rFonts w:cs="Arial"/>
          <w:color w:val="17365D" w:themeColor="text2" w:themeShade="BF"/>
          <w:szCs w:val="20"/>
        </w:rPr>
        <w:t>, njih 68, kojima je obračunata prosječna mjesečna neto plaća u iznosu od 3.107 kuna</w:t>
      </w:r>
      <w:r w:rsidRPr="00464666">
        <w:rPr>
          <w:color w:val="17365D" w:themeColor="text2" w:themeShade="BF"/>
          <w:szCs w:val="20"/>
        </w:rPr>
        <w:t>.</w:t>
      </w:r>
    </w:p>
    <w:p w:rsidR="004A2DEF" w:rsidRDefault="00E1566D" w:rsidP="00ED63FD">
      <w:pPr>
        <w:spacing w:before="180" w:after="40" w:line="240" w:lineRule="auto"/>
        <w:ind w:left="1134" w:hanging="1134"/>
        <w:jc w:val="left"/>
        <w:rPr>
          <w:rFonts w:cs="Arial"/>
          <w:b/>
          <w:color w:val="17365D" w:themeColor="text2" w:themeShade="BF"/>
          <w:sz w:val="18"/>
          <w:szCs w:val="18"/>
        </w:rPr>
      </w:pPr>
      <w:r w:rsidRPr="00A90E6E">
        <w:rPr>
          <w:rFonts w:cs="Arial"/>
          <w:b/>
          <w:color w:val="17365D" w:themeColor="text2" w:themeShade="BF"/>
          <w:sz w:val="18"/>
          <w:szCs w:val="18"/>
        </w:rPr>
        <w:t>Slika 1.</w:t>
      </w:r>
      <w:r w:rsidRPr="00A90E6E">
        <w:rPr>
          <w:rFonts w:cs="Arial"/>
          <w:b/>
          <w:color w:val="17365D" w:themeColor="text2" w:themeShade="BF"/>
          <w:sz w:val="18"/>
          <w:szCs w:val="18"/>
        </w:rPr>
        <w:tab/>
      </w:r>
      <w:r w:rsidR="00F27BBC" w:rsidRPr="00A90E6E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>EUROM DENIS MALOPRODAJA d.o.o.</w:t>
      </w:r>
      <w:r w:rsidR="00F27BBC" w:rsidRPr="00A90E6E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F27BBC" w:rsidRPr="00A90E6E">
        <w:rPr>
          <w:rFonts w:cs="Arial"/>
          <w:b/>
          <w:color w:val="17365D" w:themeColor="text2" w:themeShade="BF"/>
          <w:sz w:val="18"/>
          <w:szCs w:val="18"/>
        </w:rPr>
        <w:t xml:space="preserve">prvi je među poduzetnicima u djelatnosti NKD 47.65 prema ukupnom prihodu </w:t>
      </w:r>
      <w:r w:rsidR="008716E3" w:rsidRPr="00A90E6E">
        <w:rPr>
          <w:rFonts w:cs="Arial"/>
          <w:b/>
          <w:color w:val="17365D" w:themeColor="text2" w:themeShade="BF"/>
          <w:sz w:val="18"/>
          <w:szCs w:val="18"/>
        </w:rPr>
        <w:t xml:space="preserve">i broju zaposlenih </w:t>
      </w:r>
      <w:r w:rsidR="00F27BBC" w:rsidRPr="00A90E6E">
        <w:rPr>
          <w:rFonts w:cs="Arial"/>
          <w:b/>
          <w:color w:val="17365D" w:themeColor="text2" w:themeShade="BF"/>
          <w:sz w:val="18"/>
          <w:szCs w:val="18"/>
        </w:rPr>
        <w:t>u 201</w:t>
      </w:r>
      <w:r w:rsidR="00D41D49" w:rsidRPr="00A90E6E">
        <w:rPr>
          <w:rFonts w:cs="Arial"/>
          <w:b/>
          <w:color w:val="17365D" w:themeColor="text2" w:themeShade="BF"/>
          <w:sz w:val="18"/>
          <w:szCs w:val="18"/>
        </w:rPr>
        <w:t>9</w:t>
      </w:r>
      <w:r w:rsidR="00F27BBC" w:rsidRPr="00A90E6E">
        <w:rPr>
          <w:rFonts w:cs="Arial"/>
          <w:b/>
          <w:color w:val="17365D" w:themeColor="text2" w:themeShade="BF"/>
          <w:sz w:val="18"/>
          <w:szCs w:val="18"/>
        </w:rPr>
        <w:t>. godini</w:t>
      </w:r>
    </w:p>
    <w:p w:rsidR="005B25B6" w:rsidRPr="00FF4B8C" w:rsidRDefault="004A2DEF" w:rsidP="004A2DEF">
      <w:pPr>
        <w:spacing w:after="40" w:line="240" w:lineRule="auto"/>
        <w:ind w:left="1134" w:hanging="1134"/>
        <w:jc w:val="left"/>
        <w:rPr>
          <w:i/>
          <w:color w:val="FF0000"/>
          <w:sz w:val="4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5AA3A5A5" wp14:editId="531683F5">
            <wp:extent cx="6281530" cy="954157"/>
            <wp:effectExtent l="0" t="0" r="508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49152"/>
                    <a:stretch/>
                  </pic:blipFill>
                  <pic:spPr bwMode="auto">
                    <a:xfrm>
                      <a:off x="0" y="0"/>
                      <a:ext cx="6281530" cy="954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D40" w:rsidRDefault="005B25B6" w:rsidP="00EB2D40">
      <w:pPr>
        <w:spacing w:before="60"/>
        <w:jc w:val="left"/>
        <w:rPr>
          <w:bCs/>
          <w:color w:val="244061"/>
        </w:rPr>
      </w:pPr>
      <w:r w:rsidRPr="00A90E6E">
        <w:rPr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="00EB2D40" w:rsidRPr="00A90E6E">
        <w:rPr>
          <w:rFonts w:cstheme="minorBidi"/>
          <w:i/>
          <w:sz w:val="16"/>
          <w:szCs w:val="16"/>
        </w:rPr>
        <w:t xml:space="preserve">Financijska agencija, servis </w:t>
      </w:r>
      <w:hyperlink r:id="rId10" w:history="1">
        <w:r w:rsidR="00EB2D40" w:rsidRPr="00A90E6E">
          <w:rPr>
            <w:rFonts w:eastAsiaTheme="minorHAnsi" w:cs="Arial"/>
            <w:i/>
            <w:color w:val="0000FF" w:themeColor="hyperlink"/>
            <w:sz w:val="16"/>
            <w:szCs w:val="16"/>
            <w:u w:val="single"/>
          </w:rPr>
          <w:t>info.BIZ</w:t>
        </w:r>
      </w:hyperlink>
    </w:p>
    <w:p w:rsidR="00BB586C" w:rsidRDefault="00BB586C" w:rsidP="00467C9C">
      <w:pPr>
        <w:spacing w:before="180" w:line="274" w:lineRule="auto"/>
        <w:rPr>
          <w:rFonts w:cs="Arial"/>
          <w:color w:val="17365D" w:themeColor="text2" w:themeShade="BF"/>
          <w:szCs w:val="20"/>
        </w:rPr>
      </w:pPr>
      <w:r w:rsidRPr="00A90E6E">
        <w:rPr>
          <w:rFonts w:cs="Arial"/>
          <w:color w:val="17365D" w:themeColor="text2" w:themeShade="BF"/>
          <w:szCs w:val="20"/>
        </w:rPr>
        <w:t xml:space="preserve">Prosječna mjesečna neto obračunata plaća zaposlenih kod poduzetnika u djelatnosti trgovine na malo igrama i igračkama u specijaliziranim prodavaonica u 2019. godini iznosila je </w:t>
      </w:r>
      <w:r w:rsidR="00AD01E9" w:rsidRPr="00A90E6E">
        <w:rPr>
          <w:rFonts w:cs="Arial"/>
          <w:color w:val="17365D" w:themeColor="text2" w:themeShade="BF"/>
          <w:szCs w:val="20"/>
        </w:rPr>
        <w:t>2.961</w:t>
      </w:r>
      <w:r w:rsidRPr="00A90E6E">
        <w:rPr>
          <w:rFonts w:cs="Arial"/>
          <w:color w:val="17365D" w:themeColor="text2" w:themeShade="BF"/>
          <w:szCs w:val="20"/>
        </w:rPr>
        <w:t xml:space="preserve"> kun</w:t>
      </w:r>
      <w:r w:rsidR="00AD01E9" w:rsidRPr="00A90E6E">
        <w:rPr>
          <w:rFonts w:cs="Arial"/>
          <w:color w:val="17365D" w:themeColor="text2" w:themeShade="BF"/>
          <w:szCs w:val="20"/>
        </w:rPr>
        <w:t>u</w:t>
      </w:r>
      <w:r w:rsidRPr="00A90E6E">
        <w:rPr>
          <w:rFonts w:cs="Arial"/>
          <w:color w:val="17365D" w:themeColor="text2" w:themeShade="BF"/>
          <w:szCs w:val="20"/>
        </w:rPr>
        <w:t xml:space="preserve"> i bila je </w:t>
      </w:r>
      <w:r w:rsidR="00AD01E9" w:rsidRPr="00A90E6E">
        <w:rPr>
          <w:rFonts w:cs="Arial"/>
          <w:color w:val="17365D" w:themeColor="text2" w:themeShade="BF"/>
          <w:szCs w:val="20"/>
        </w:rPr>
        <w:t>4,1%</w:t>
      </w:r>
      <w:r w:rsidRPr="00A90E6E">
        <w:rPr>
          <w:rFonts w:cs="Arial"/>
          <w:color w:val="17365D" w:themeColor="text2" w:themeShade="BF"/>
          <w:szCs w:val="20"/>
        </w:rPr>
        <w:t xml:space="preserve"> </w:t>
      </w:r>
      <w:r w:rsidR="00AD01E9" w:rsidRPr="00A90E6E">
        <w:rPr>
          <w:rFonts w:cs="Arial"/>
          <w:color w:val="17365D" w:themeColor="text2" w:themeShade="BF"/>
          <w:szCs w:val="20"/>
        </w:rPr>
        <w:t>manja</w:t>
      </w:r>
      <w:r w:rsidRPr="00A90E6E">
        <w:rPr>
          <w:rFonts w:cs="Arial"/>
          <w:color w:val="17365D" w:themeColor="text2" w:themeShade="BF"/>
          <w:szCs w:val="20"/>
        </w:rPr>
        <w:t xml:space="preserve"> u odnosu na početnu promatranu godinu (2015.) te </w:t>
      </w:r>
      <w:r w:rsidR="00AD01E9" w:rsidRPr="00A90E6E">
        <w:rPr>
          <w:rFonts w:cs="Arial"/>
          <w:color w:val="17365D" w:themeColor="text2" w:themeShade="BF"/>
          <w:szCs w:val="20"/>
        </w:rPr>
        <w:t>49,1%</w:t>
      </w:r>
      <w:r w:rsidRPr="00A90E6E">
        <w:rPr>
          <w:rFonts w:cs="Arial"/>
          <w:color w:val="17365D" w:themeColor="text2" w:themeShade="BF"/>
          <w:szCs w:val="20"/>
        </w:rPr>
        <w:t xml:space="preserve"> </w:t>
      </w:r>
      <w:r w:rsidR="00AD01E9" w:rsidRPr="00A90E6E">
        <w:rPr>
          <w:rFonts w:cs="Arial"/>
          <w:color w:val="17365D" w:themeColor="text2" w:themeShade="BF"/>
          <w:szCs w:val="20"/>
        </w:rPr>
        <w:t>manja</w:t>
      </w:r>
      <w:r w:rsidRPr="00A90E6E">
        <w:rPr>
          <w:rFonts w:cs="Arial"/>
          <w:color w:val="17365D" w:themeColor="text2" w:themeShade="BF"/>
          <w:szCs w:val="20"/>
        </w:rPr>
        <w:t xml:space="preserve"> od prosječne mjesečne neto plaće zaposlenih kod poduzetnika na razini RH (5</w:t>
      </w:r>
      <w:r w:rsidR="00AD01E9" w:rsidRPr="00A90E6E">
        <w:rPr>
          <w:rFonts w:cs="Arial"/>
          <w:color w:val="17365D" w:themeColor="text2" w:themeShade="BF"/>
          <w:szCs w:val="20"/>
        </w:rPr>
        <w:t>.</w:t>
      </w:r>
      <w:r w:rsidRPr="00A90E6E">
        <w:rPr>
          <w:rFonts w:cs="Arial"/>
          <w:color w:val="17365D" w:themeColor="text2" w:themeShade="BF"/>
          <w:szCs w:val="20"/>
        </w:rPr>
        <w:t>815 kuna).</w:t>
      </w:r>
    </w:p>
    <w:p w:rsidR="00A44FA3" w:rsidRPr="005400FF" w:rsidRDefault="00A44FA3" w:rsidP="00A44FA3">
      <w:pPr>
        <w:pBdr>
          <w:bottom w:val="single" w:sz="12" w:space="1" w:color="auto"/>
        </w:pBdr>
        <w:rPr>
          <w:rFonts w:eastAsia="Times New Roman"/>
          <w:i/>
          <w:color w:val="FF0000"/>
          <w:sz w:val="2"/>
          <w:szCs w:val="16"/>
          <w:lang w:eastAsia="hr-HR"/>
        </w:rPr>
      </w:pPr>
    </w:p>
    <w:p w:rsidR="00A44FA3" w:rsidRPr="00975FF7" w:rsidRDefault="00DF6E16" w:rsidP="00467C9C">
      <w:pPr>
        <w:widowControl w:val="0"/>
        <w:tabs>
          <w:tab w:val="left" w:pos="343"/>
        </w:tabs>
        <w:spacing w:before="20" w:line="240" w:lineRule="auto"/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</w:pPr>
      <w:hyperlink r:id="rId11" w:history="1">
        <w:r w:rsidR="00A44FA3" w:rsidRPr="00A90E6E">
          <w:rPr>
            <w:rFonts w:eastAsia="Times New Roman" w:cs="Arial"/>
            <w:bCs/>
            <w:i/>
            <w:color w:val="0000FF"/>
            <w:sz w:val="18"/>
            <w:szCs w:val="16"/>
            <w:u w:val="single"/>
            <w:shd w:val="clear" w:color="auto" w:fill="FFFFFF"/>
            <w:lang w:val="en-US" w:eastAsia="hr-HR"/>
          </w:rPr>
          <w:t>Info.BIZ</w:t>
        </w:r>
      </w:hyperlink>
      <w:r w:rsidR="00A44FA3" w:rsidRPr="00A90E6E">
        <w:rPr>
          <w:rFonts w:eastAsia="Times New Roman" w:cs="Arial"/>
          <w:i/>
          <w:color w:val="0000FF"/>
          <w:sz w:val="18"/>
          <w:szCs w:val="16"/>
          <w:u w:val="single"/>
          <w:shd w:val="clear" w:color="auto" w:fill="FFFFFF"/>
          <w:lang w:eastAsia="hr-HR"/>
        </w:rPr>
        <w:t xml:space="preserve"> </w:t>
      </w:r>
      <w:r w:rsidR="00A44FA3" w:rsidRPr="00A90E6E"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  <w:t>servis pruža uvid</w:t>
      </w:r>
      <w:r w:rsidR="00A44FA3" w:rsidRPr="000E4A57"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  <w:t xml:space="preserve"> u informacije o uspješnosti poslovanja i financijskom položaju svih poslovnih subjekata </w:t>
      </w:r>
      <w:proofErr w:type="gramStart"/>
      <w:r w:rsidR="00A44FA3" w:rsidRPr="000E4A57"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  <w:t>te</w:t>
      </w:r>
      <w:proofErr w:type="gramEnd"/>
      <w:r w:rsidR="00A44FA3" w:rsidRPr="000E4A57"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  <w:t xml:space="preserve"> o poslovnoj okolini u kojoj oni djeluju. Najveća je i najažurnija baza poslovnih informacija za više od </w:t>
      </w:r>
      <w:r w:rsidR="00A44FA3" w:rsidRPr="000E4A57">
        <w:rPr>
          <w:rFonts w:eastAsia="Times New Roman" w:cs="Arial"/>
          <w:b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8</w:t>
      </w:r>
      <w:r w:rsidR="00ED63FD">
        <w:rPr>
          <w:rFonts w:eastAsia="Times New Roman" w:cs="Arial"/>
          <w:b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24</w:t>
      </w:r>
      <w:r w:rsidR="00A44FA3" w:rsidRPr="000E4A57">
        <w:rPr>
          <w:rFonts w:eastAsia="Times New Roman" w:cs="Arial"/>
          <w:b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.0</w:t>
      </w:r>
      <w:r w:rsidR="00ED63FD">
        <w:rPr>
          <w:rFonts w:eastAsia="Times New Roman" w:cs="Arial"/>
          <w:b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0</w:t>
      </w:r>
      <w:r w:rsidR="00A44FA3" w:rsidRPr="000E4A57">
        <w:rPr>
          <w:rFonts w:eastAsia="Times New Roman" w:cs="Arial"/>
          <w:b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0 poslovnih subjekata</w:t>
      </w:r>
      <w:r w:rsidR="00A44FA3" w:rsidRPr="000E4A57">
        <w:rPr>
          <w:rFonts w:eastAsia="Times New Roman" w:cs="Arial"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 xml:space="preserve"> </w:t>
      </w:r>
      <w:r w:rsidR="00A44FA3" w:rsidRPr="000E4A57">
        <w:rPr>
          <w:rFonts w:eastAsia="Times New Roman" w:cs="Arial"/>
          <w:b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iz više od 30 izvora</w:t>
      </w:r>
      <w:r w:rsidR="00A44FA3" w:rsidRPr="000E4A57">
        <w:rPr>
          <w:rFonts w:eastAsia="Times New Roman" w:cs="Arial"/>
          <w:i/>
          <w:color w:val="244061"/>
          <w:sz w:val="18"/>
          <w:szCs w:val="16"/>
          <w:u w:val="single"/>
          <w:shd w:val="clear" w:color="auto" w:fill="FFFFFF"/>
          <w:lang w:eastAsia="hr-HR"/>
        </w:rPr>
        <w:t>.</w:t>
      </w:r>
      <w:r w:rsidR="00A44FA3" w:rsidRPr="000E4A57"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  <w:t xml:space="preserve"> Omogućuje brže, jednostavnije i sigurnije donošenje poslovnih odluka, sustavno praćenje klijenata, olakšava izradu poslovnih a</w:t>
      </w:r>
      <w:r w:rsidR="00A44FA3" w:rsidRPr="00975FF7">
        <w:rPr>
          <w:rFonts w:eastAsia="Times New Roman" w:cs="Arial"/>
          <w:i/>
          <w:color w:val="244061"/>
          <w:sz w:val="18"/>
          <w:szCs w:val="16"/>
          <w:shd w:val="clear" w:color="auto" w:fill="FFFFFF"/>
          <w:lang w:eastAsia="hr-HR"/>
        </w:rPr>
        <w:t>naliza te praćenje trendova i prepoznavanje potencijala na tržištu.</w:t>
      </w:r>
    </w:p>
    <w:p w:rsidR="00467C9C" w:rsidRDefault="00A44FA3" w:rsidP="00467C9C">
      <w:pPr>
        <w:widowControl w:val="0"/>
        <w:tabs>
          <w:tab w:val="left" w:pos="343"/>
        </w:tabs>
        <w:spacing w:before="20" w:line="240" w:lineRule="auto"/>
        <w:rPr>
          <w:rFonts w:cs="Arial"/>
          <w:i/>
          <w:color w:val="007AFF"/>
          <w:sz w:val="18"/>
          <w:szCs w:val="16"/>
        </w:rPr>
      </w:pPr>
      <w:r w:rsidRPr="00975FF7">
        <w:rPr>
          <w:rFonts w:cs="Arial"/>
          <w:b/>
          <w:i/>
          <w:color w:val="244061"/>
          <w:sz w:val="18"/>
          <w:szCs w:val="16"/>
          <w:shd w:val="clear" w:color="auto" w:fill="D9D9D9"/>
        </w:rPr>
        <w:t>Ako ste zainteresirani i želite ugovoriti uslugu ili kupiti veći broj paketa</w:t>
      </w:r>
      <w:r w:rsidRPr="00975FF7">
        <w:rPr>
          <w:rFonts w:cs="Arial"/>
          <w:i/>
          <w:color w:val="244061"/>
          <w:sz w:val="18"/>
          <w:szCs w:val="16"/>
          <w:shd w:val="clear" w:color="auto" w:fill="F5F6F8"/>
        </w:rPr>
        <w:t xml:space="preserve">: </w:t>
      </w:r>
      <w:hyperlink r:id="rId12" w:history="1">
        <w:r w:rsidRPr="00975FF7">
          <w:rPr>
            <w:rFonts w:cs="Arial"/>
            <w:i/>
            <w:color w:val="0000FF"/>
            <w:sz w:val="18"/>
            <w:szCs w:val="16"/>
            <w:u w:val="single"/>
          </w:rPr>
          <w:t>prodaja@fina.hr</w:t>
        </w:r>
      </w:hyperlink>
      <w:r w:rsidRPr="00975FF7">
        <w:rPr>
          <w:rFonts w:cs="Arial"/>
          <w:i/>
          <w:color w:val="007AFF"/>
          <w:sz w:val="18"/>
          <w:szCs w:val="16"/>
        </w:rPr>
        <w:t xml:space="preserve"> </w:t>
      </w:r>
    </w:p>
    <w:p w:rsidR="008432E2" w:rsidRPr="003D0FDF" w:rsidRDefault="00A44FA3" w:rsidP="00467C9C">
      <w:pPr>
        <w:widowControl w:val="0"/>
        <w:tabs>
          <w:tab w:val="left" w:pos="343"/>
        </w:tabs>
        <w:spacing w:line="240" w:lineRule="auto"/>
        <w:rPr>
          <w:rFonts w:cs="Arial"/>
          <w:color w:val="17365D" w:themeColor="text2" w:themeShade="BF"/>
          <w:szCs w:val="20"/>
        </w:rPr>
      </w:pPr>
      <w:r w:rsidRPr="00975FF7">
        <w:rPr>
          <w:rFonts w:cs="Arial"/>
          <w:b/>
          <w:i/>
          <w:color w:val="244061"/>
          <w:sz w:val="18"/>
          <w:szCs w:val="16"/>
          <w:shd w:val="clear" w:color="auto" w:fill="D9D9D9"/>
        </w:rPr>
        <w:t>Ako trebate korisničku podršku</w:t>
      </w:r>
      <w:r w:rsidRPr="00975FF7">
        <w:rPr>
          <w:rFonts w:cs="Arial"/>
          <w:i/>
          <w:color w:val="244061"/>
          <w:sz w:val="18"/>
          <w:szCs w:val="16"/>
          <w:shd w:val="clear" w:color="auto" w:fill="F5F6F8"/>
        </w:rPr>
        <w:t>: 0800 0080</w:t>
      </w:r>
      <w:r w:rsidRPr="00975FF7">
        <w:rPr>
          <w:rFonts w:cs="Arial"/>
          <w:i/>
          <w:color w:val="33343A"/>
          <w:sz w:val="18"/>
          <w:szCs w:val="16"/>
          <w:shd w:val="clear" w:color="auto" w:fill="F5F6F8"/>
        </w:rPr>
        <w:t xml:space="preserve">, </w:t>
      </w:r>
      <w:hyperlink r:id="rId13" w:history="1">
        <w:r w:rsidR="0013449D" w:rsidRPr="00E177CC">
          <w:rPr>
            <w:rStyle w:val="Hiperveza"/>
            <w:rFonts w:cs="Arial"/>
            <w:i/>
            <w:sz w:val="18"/>
            <w:szCs w:val="16"/>
          </w:rPr>
          <w:t>info@fina.hr</w:t>
        </w:r>
      </w:hyperlink>
    </w:p>
    <w:sectPr w:rsidR="008432E2" w:rsidRPr="003D0FDF" w:rsidSect="00DB2231">
      <w:headerReference w:type="default" r:id="rId14"/>
      <w:pgSz w:w="11906" w:h="16838"/>
      <w:pgMar w:top="1021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16" w:rsidRDefault="00DF6E16" w:rsidP="00BC2D19">
      <w:pPr>
        <w:spacing w:line="240" w:lineRule="auto"/>
      </w:pPr>
      <w:r>
        <w:separator/>
      </w:r>
    </w:p>
  </w:endnote>
  <w:endnote w:type="continuationSeparator" w:id="0">
    <w:p w:rsidR="00DF6E16" w:rsidRDefault="00DF6E16" w:rsidP="00B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16" w:rsidRDefault="00DF6E16" w:rsidP="00BC2D19">
      <w:pPr>
        <w:spacing w:line="240" w:lineRule="auto"/>
      </w:pPr>
      <w:r>
        <w:separator/>
      </w:r>
    </w:p>
  </w:footnote>
  <w:footnote w:type="continuationSeparator" w:id="0">
    <w:p w:rsidR="00DF6E16" w:rsidRDefault="00DF6E16" w:rsidP="00BC2D19">
      <w:pPr>
        <w:spacing w:line="240" w:lineRule="auto"/>
      </w:pPr>
      <w:r>
        <w:continuationSeparator/>
      </w:r>
    </w:p>
  </w:footnote>
  <w:footnote w:id="1">
    <w:p w:rsidR="00216A58" w:rsidRPr="00086EFB" w:rsidRDefault="00216A58">
      <w:pPr>
        <w:pStyle w:val="Tekstfusnote"/>
        <w:rPr>
          <w:color w:val="244061" w:themeColor="accent1" w:themeShade="80"/>
          <w:sz w:val="17"/>
          <w:szCs w:val="17"/>
        </w:rPr>
      </w:pPr>
      <w:r w:rsidRPr="00086EFB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086EFB">
        <w:rPr>
          <w:color w:val="244061" w:themeColor="accent1" w:themeShade="80"/>
          <w:sz w:val="17"/>
          <w:szCs w:val="17"/>
        </w:rPr>
        <w:t xml:space="preserve"> Izvor: Financijska agencija, </w:t>
      </w:r>
      <w:hyperlink r:id="rId1" w:history="1">
        <w:r w:rsidRPr="00216A58">
          <w:rPr>
            <w:rStyle w:val="Hiperveza"/>
            <w:sz w:val="17"/>
            <w:szCs w:val="17"/>
          </w:rPr>
          <w:t>servis info.BIZ</w:t>
        </w:r>
      </w:hyperlink>
      <w:r w:rsidRPr="00216A58">
        <w:rPr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 w:rsidRPr="00086EFB">
        <w:rPr>
          <w:color w:val="244061" w:themeColor="accent1" w:themeShade="80"/>
          <w:sz w:val="17"/>
          <w:szCs w:val="17"/>
        </w:rPr>
        <w:t>Preuzeto 2. prosinca 2020. g.</w:t>
      </w:r>
    </w:p>
  </w:footnote>
  <w:footnote w:id="2">
    <w:p w:rsidR="00216A58" w:rsidRPr="00216A58" w:rsidRDefault="00216A58" w:rsidP="00ED63FD">
      <w:pPr>
        <w:spacing w:before="20" w:line="240" w:lineRule="auto"/>
        <w:rPr>
          <w:rFonts w:cs="Arial"/>
          <w:sz w:val="17"/>
          <w:szCs w:val="17"/>
        </w:rPr>
      </w:pPr>
      <w:r w:rsidRPr="00216A58">
        <w:rPr>
          <w:rStyle w:val="Referencafusnote"/>
          <w:rFonts w:cs="Arial"/>
          <w:sz w:val="17"/>
          <w:szCs w:val="17"/>
        </w:rPr>
        <w:footnoteRef/>
      </w:r>
      <w:r w:rsidRPr="00216A58">
        <w:rPr>
          <w:rFonts w:cs="Arial"/>
          <w:sz w:val="17"/>
          <w:szCs w:val="17"/>
        </w:rPr>
        <w:t xml:space="preserve"> Za takve je obveznike </w:t>
      </w:r>
      <w:hyperlink r:id="rId2" w:history="1">
        <w:r w:rsidRPr="00216A58">
          <w:rPr>
            <w:rFonts w:cs="Arial"/>
            <w:color w:val="0000FF"/>
            <w:sz w:val="17"/>
            <w:szCs w:val="17"/>
            <w:u w:val="single"/>
          </w:rPr>
          <w:t>Zakonom o računovodstvu i podzakonskim aktima</w:t>
        </w:r>
      </w:hyperlink>
      <w:r w:rsidRPr="00216A58">
        <w:rPr>
          <w:rFonts w:cs="Arial"/>
          <w:color w:val="244061"/>
          <w:sz w:val="17"/>
          <w:szCs w:val="17"/>
        </w:rPr>
        <w:t>, propisana novčana kazna.</w:t>
      </w:r>
    </w:p>
  </w:footnote>
  <w:footnote w:id="3">
    <w:p w:rsidR="00DE1B1C" w:rsidRPr="00DE1B1C" w:rsidRDefault="00DE1B1C" w:rsidP="00ED63FD">
      <w:pPr>
        <w:pStyle w:val="Tekstfusnote"/>
        <w:spacing w:before="20"/>
        <w:rPr>
          <w:sz w:val="17"/>
          <w:szCs w:val="17"/>
        </w:rPr>
      </w:pPr>
      <w:r w:rsidRPr="00086EFB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086EFB">
        <w:rPr>
          <w:color w:val="244061" w:themeColor="accent1" w:themeShade="80"/>
          <w:sz w:val="17"/>
          <w:szCs w:val="17"/>
        </w:rPr>
        <w:t xml:space="preserve"> Aranea toys d.o.o., BABYROOM j.d.o.o., FP TRGOVINA j.d.o.o., IZOSPIN j.d.o.o., MINI GENIE d.o.o. Izvor: Financijska agencija, </w:t>
      </w:r>
      <w:hyperlink r:id="rId3" w:history="1">
        <w:r w:rsidR="00EA76A4" w:rsidRPr="00216A58">
          <w:rPr>
            <w:rStyle w:val="Hiperveza"/>
            <w:sz w:val="17"/>
            <w:szCs w:val="17"/>
          </w:rPr>
          <w:t>servis info.BIZ</w:t>
        </w:r>
      </w:hyperlink>
      <w:r w:rsidRPr="00DE1B1C">
        <w:rPr>
          <w:sz w:val="17"/>
          <w:szCs w:val="17"/>
        </w:rPr>
        <w:t>. Preuzeto 2. prosinca 2020. g.</w:t>
      </w:r>
    </w:p>
  </w:footnote>
  <w:footnote w:id="4">
    <w:p w:rsidR="00BE756A" w:rsidRPr="00216A58" w:rsidRDefault="00BE756A" w:rsidP="00ED63FD">
      <w:pPr>
        <w:pStyle w:val="Tekstfusnote"/>
        <w:spacing w:before="20"/>
        <w:jc w:val="left"/>
        <w:rPr>
          <w:color w:val="244061" w:themeColor="accent1" w:themeShade="80"/>
          <w:sz w:val="17"/>
          <w:szCs w:val="17"/>
        </w:rPr>
      </w:pPr>
      <w:r w:rsidRPr="00216A58">
        <w:rPr>
          <w:rStyle w:val="Referencafusnote"/>
          <w:rFonts w:cs="Arial"/>
          <w:color w:val="244061" w:themeColor="accent1" w:themeShade="80"/>
          <w:sz w:val="17"/>
          <w:szCs w:val="17"/>
        </w:rPr>
        <w:footnoteRef/>
      </w:r>
      <w:r w:rsidRPr="00216A58">
        <w:rPr>
          <w:rFonts w:cs="Arial"/>
          <w:color w:val="244061" w:themeColor="accent1" w:themeShade="80"/>
          <w:sz w:val="17"/>
          <w:szCs w:val="17"/>
        </w:rPr>
        <w:t xml:space="preserve"> Pozicija iz GFI-a (iz obrazaca do 2016.) - "Investicije u novu dugotrajnu imovinu" istovjetna je poziciji "Bruto investicije samo u novu</w:t>
      </w:r>
      <w:r w:rsidRPr="00216A58">
        <w:rPr>
          <w:color w:val="244061" w:themeColor="accent1" w:themeShade="80"/>
          <w:sz w:val="17"/>
          <w:szCs w:val="17"/>
        </w:rPr>
        <w:t xml:space="preserve"> dugotrajnu imovinu" u obrascima GFI-a 2016. - 2019.</w:t>
      </w:r>
    </w:p>
  </w:footnote>
  <w:footnote w:id="5">
    <w:p w:rsidR="00CF37A6" w:rsidRPr="00216A58" w:rsidRDefault="00CF37A6" w:rsidP="00216A58">
      <w:pPr>
        <w:pStyle w:val="Tekstfusnote"/>
        <w:spacing w:before="20"/>
        <w:jc w:val="left"/>
        <w:rPr>
          <w:color w:val="244061" w:themeColor="accent1" w:themeShade="80"/>
          <w:sz w:val="17"/>
          <w:szCs w:val="17"/>
        </w:rPr>
      </w:pPr>
      <w:r w:rsidRPr="00216A58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216A58">
        <w:rPr>
          <w:color w:val="244061" w:themeColor="accent1" w:themeShade="80"/>
          <w:sz w:val="17"/>
          <w:szCs w:val="17"/>
        </w:rPr>
        <w:t xml:space="preserve"> Društvo je osnovano 2012. g</w:t>
      </w:r>
      <w:r w:rsidR="0013449D" w:rsidRPr="00216A58">
        <w:rPr>
          <w:color w:val="244061" w:themeColor="accent1" w:themeShade="80"/>
          <w:sz w:val="17"/>
          <w:szCs w:val="17"/>
        </w:rPr>
        <w:t xml:space="preserve">. </w:t>
      </w:r>
      <w:r w:rsidRPr="00216A58">
        <w:rPr>
          <w:color w:val="244061" w:themeColor="accent1" w:themeShade="80"/>
          <w:sz w:val="17"/>
          <w:szCs w:val="17"/>
        </w:rPr>
        <w:t>u postupku odvajanja od društva one2play d.o.o. Trgovački sud u Zagrebu 17. travnja 2015. g</w:t>
      </w:r>
      <w:r w:rsidR="0013449D" w:rsidRPr="00216A58">
        <w:rPr>
          <w:color w:val="244061" w:themeColor="accent1" w:themeShade="80"/>
          <w:sz w:val="17"/>
          <w:szCs w:val="17"/>
        </w:rPr>
        <w:t>.</w:t>
      </w:r>
      <w:r w:rsidRPr="00216A58">
        <w:rPr>
          <w:color w:val="244061" w:themeColor="accent1" w:themeShade="80"/>
          <w:sz w:val="17"/>
          <w:szCs w:val="17"/>
        </w:rPr>
        <w:t xml:space="preserve"> otv</w:t>
      </w:r>
      <w:r w:rsidR="0013449D" w:rsidRPr="00216A58">
        <w:rPr>
          <w:color w:val="244061" w:themeColor="accent1" w:themeShade="80"/>
          <w:sz w:val="17"/>
          <w:szCs w:val="17"/>
        </w:rPr>
        <w:t>o</w:t>
      </w:r>
      <w:r w:rsidRPr="00216A58">
        <w:rPr>
          <w:color w:val="244061" w:themeColor="accent1" w:themeShade="80"/>
          <w:sz w:val="17"/>
          <w:szCs w:val="17"/>
        </w:rPr>
        <w:t>r</w:t>
      </w:r>
      <w:r w:rsidR="0013449D" w:rsidRPr="00216A58">
        <w:rPr>
          <w:color w:val="244061" w:themeColor="accent1" w:themeShade="80"/>
          <w:sz w:val="17"/>
          <w:szCs w:val="17"/>
        </w:rPr>
        <w:t>io je</w:t>
      </w:r>
      <w:r w:rsidRPr="00216A58">
        <w:rPr>
          <w:color w:val="244061" w:themeColor="accent1" w:themeShade="80"/>
          <w:sz w:val="17"/>
          <w:szCs w:val="17"/>
        </w:rPr>
        <w:t xml:space="preserve"> stečajni postupak nad one2play maloprodaja d.o.o. Izvor: Sudski registar, www.sudreg.pravosudje</w:t>
      </w:r>
      <w:r w:rsidR="0013449D" w:rsidRPr="00216A58">
        <w:rPr>
          <w:color w:val="244061" w:themeColor="accent1" w:themeShade="80"/>
          <w:sz w:val="17"/>
          <w:szCs w:val="17"/>
        </w:rPr>
        <w:t xml:space="preserve">.hr, preuzeto 1. prosinca 2020. </w:t>
      </w:r>
      <w:r w:rsidRPr="00216A58">
        <w:rPr>
          <w:color w:val="244061" w:themeColor="accent1" w:themeShade="80"/>
          <w:sz w:val="17"/>
          <w:szCs w:val="17"/>
        </w:rPr>
        <w:t>g.</w:t>
      </w:r>
    </w:p>
  </w:footnote>
  <w:footnote w:id="6">
    <w:p w:rsidR="0013449D" w:rsidRPr="009424A9" w:rsidRDefault="0013449D" w:rsidP="00467C9C">
      <w:pPr>
        <w:pStyle w:val="Tekstfusnote"/>
        <w:shd w:val="clear" w:color="auto" w:fill="FFFFFF" w:themeFill="background1"/>
        <w:jc w:val="left"/>
        <w:rPr>
          <w:color w:val="244061" w:themeColor="accent1" w:themeShade="80"/>
          <w:sz w:val="17"/>
          <w:szCs w:val="17"/>
        </w:rPr>
      </w:pPr>
      <w:r w:rsidRPr="005A73F8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5A73F8">
        <w:rPr>
          <w:color w:val="244061" w:themeColor="accent1" w:themeShade="80"/>
          <w:sz w:val="17"/>
          <w:szCs w:val="17"/>
        </w:rPr>
        <w:t xml:space="preserve"> </w:t>
      </w:r>
      <w:r w:rsidRPr="009424A9">
        <w:rPr>
          <w:color w:val="244061" w:themeColor="accent1" w:themeShade="80"/>
          <w:sz w:val="17"/>
          <w:szCs w:val="17"/>
        </w:rPr>
        <w:t>Društvo nije podnijelo GFI za 2015. g</w:t>
      </w:r>
      <w:r w:rsidR="005A73F8" w:rsidRPr="009424A9">
        <w:rPr>
          <w:color w:val="244061" w:themeColor="accent1" w:themeShade="80"/>
          <w:sz w:val="17"/>
          <w:szCs w:val="17"/>
        </w:rPr>
        <w:t>.</w:t>
      </w:r>
      <w:r w:rsidRPr="009424A9">
        <w:rPr>
          <w:color w:val="244061" w:themeColor="accent1" w:themeShade="80"/>
          <w:sz w:val="17"/>
          <w:szCs w:val="17"/>
        </w:rPr>
        <w:t xml:space="preserve"> te se iskazani podaci odnose na rezultate iskazane u GFI-u za 2016. g, stupac – prethodna godina</w:t>
      </w:r>
      <w:r w:rsidR="005A73F8" w:rsidRPr="009424A9">
        <w:rPr>
          <w:color w:val="244061" w:themeColor="accent1" w:themeShade="80"/>
          <w:sz w:val="17"/>
          <w:szCs w:val="17"/>
        </w:rPr>
        <w:t xml:space="preserve"> (2015.)</w:t>
      </w:r>
      <w:r w:rsidRPr="009424A9">
        <w:rPr>
          <w:color w:val="244061" w:themeColor="accent1" w:themeShade="80"/>
          <w:sz w:val="17"/>
          <w:szCs w:val="17"/>
        </w:rPr>
        <w:t>.</w:t>
      </w:r>
      <w:r w:rsidR="005A73F8" w:rsidRPr="009424A9">
        <w:rPr>
          <w:color w:val="244061" w:themeColor="accent1" w:themeShade="80"/>
          <w:sz w:val="17"/>
          <w:szCs w:val="17"/>
        </w:rPr>
        <w:t xml:space="preserve"> Trgovački sud u Zagrebu brisao </w:t>
      </w:r>
      <w:r w:rsidR="009424A9" w:rsidRPr="009424A9">
        <w:rPr>
          <w:color w:val="244061" w:themeColor="accent1" w:themeShade="80"/>
          <w:sz w:val="17"/>
          <w:szCs w:val="17"/>
        </w:rPr>
        <w:t xml:space="preserve">je </w:t>
      </w:r>
      <w:r w:rsidR="005A73F8" w:rsidRPr="009424A9">
        <w:rPr>
          <w:color w:val="244061" w:themeColor="accent1" w:themeShade="80"/>
          <w:sz w:val="17"/>
          <w:szCs w:val="17"/>
        </w:rPr>
        <w:t>one2play d.o.o. u stečaju 19. rujna 2016. Izvor: Sudski registar, preuzeto 30. studenoga 2019. g.</w:t>
      </w:r>
    </w:p>
  </w:footnote>
  <w:footnote w:id="7">
    <w:p w:rsidR="009424A9" w:rsidRPr="00387AD7" w:rsidRDefault="009424A9" w:rsidP="00467C9C">
      <w:pPr>
        <w:pStyle w:val="Tekstfusnote"/>
        <w:shd w:val="clear" w:color="auto" w:fill="FFFFFF" w:themeFill="background1"/>
        <w:spacing w:before="20"/>
        <w:jc w:val="left"/>
        <w:rPr>
          <w:color w:val="244061" w:themeColor="accent1" w:themeShade="80"/>
          <w:sz w:val="17"/>
          <w:szCs w:val="17"/>
        </w:rPr>
      </w:pPr>
      <w:r w:rsidRPr="00387AD7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387AD7">
        <w:rPr>
          <w:color w:val="244061" w:themeColor="accent1" w:themeShade="80"/>
          <w:sz w:val="17"/>
          <w:szCs w:val="17"/>
        </w:rPr>
        <w:t xml:space="preserve"> Trgovački sud u Zagrebu 9. prosinca 2019. godine brisao je PRODIS MALOPRODAJA d.o.o. u stečaju. Izvor: Sudski registar, www.sudreg.pravosudje.hr, preuzeto </w:t>
      </w:r>
      <w:r w:rsidR="00387AD7" w:rsidRPr="00387AD7">
        <w:rPr>
          <w:color w:val="244061" w:themeColor="accent1" w:themeShade="80"/>
          <w:sz w:val="17"/>
          <w:szCs w:val="17"/>
        </w:rPr>
        <w:t>2</w:t>
      </w:r>
      <w:r w:rsidRPr="00387AD7">
        <w:rPr>
          <w:color w:val="244061" w:themeColor="accent1" w:themeShade="80"/>
          <w:sz w:val="17"/>
          <w:szCs w:val="17"/>
        </w:rPr>
        <w:t>. prosinca 2020. g.</w:t>
      </w:r>
    </w:p>
  </w:footnote>
  <w:footnote w:id="8">
    <w:p w:rsidR="00387AD7" w:rsidRPr="00387AD7" w:rsidRDefault="00387AD7" w:rsidP="00467C9C">
      <w:pPr>
        <w:pStyle w:val="Tekstfusnote"/>
        <w:shd w:val="clear" w:color="auto" w:fill="FFFFFF" w:themeFill="background1"/>
        <w:spacing w:before="20"/>
        <w:jc w:val="left"/>
        <w:rPr>
          <w:sz w:val="17"/>
          <w:szCs w:val="17"/>
        </w:rPr>
      </w:pPr>
      <w:r w:rsidRPr="00387AD7">
        <w:rPr>
          <w:rStyle w:val="Referencafusnote"/>
          <w:sz w:val="17"/>
          <w:szCs w:val="17"/>
        </w:rPr>
        <w:footnoteRef/>
      </w:r>
      <w:r w:rsidRPr="00387AD7">
        <w:rPr>
          <w:sz w:val="17"/>
          <w:szCs w:val="17"/>
        </w:rPr>
        <w:t xml:space="preserve"> </w:t>
      </w:r>
      <w:r w:rsidRPr="00387AD7">
        <w:rPr>
          <w:color w:val="244061" w:themeColor="accent1" w:themeShade="80"/>
          <w:sz w:val="17"/>
          <w:szCs w:val="17"/>
        </w:rPr>
        <w:t xml:space="preserve">Trgovački sud u Zagrebu </w:t>
      </w:r>
      <w:r w:rsidRPr="00387AD7">
        <w:rPr>
          <w:rFonts w:cs="Arial"/>
          <w:color w:val="003366"/>
          <w:sz w:val="17"/>
          <w:szCs w:val="17"/>
          <w:shd w:val="clear" w:color="auto" w:fill="F8F8F8"/>
        </w:rPr>
        <w:t>24. srpnja 2018. godine</w:t>
      </w:r>
      <w:r w:rsidRPr="00387AD7">
        <w:rPr>
          <w:color w:val="244061" w:themeColor="accent1" w:themeShade="80"/>
          <w:sz w:val="17"/>
          <w:szCs w:val="17"/>
        </w:rPr>
        <w:t xml:space="preserve"> brisao je </w:t>
      </w:r>
      <w:r w:rsidRPr="00387AD7">
        <w:rPr>
          <w:rFonts w:cs="Arial"/>
          <w:color w:val="17365D"/>
          <w:sz w:val="17"/>
          <w:szCs w:val="17"/>
        </w:rPr>
        <w:t>P. MAXI d.o.o.</w:t>
      </w:r>
      <w:r w:rsidRPr="00387AD7">
        <w:rPr>
          <w:color w:val="244061" w:themeColor="accent1" w:themeShade="80"/>
          <w:sz w:val="17"/>
          <w:szCs w:val="17"/>
        </w:rPr>
        <w:t xml:space="preserve"> u stečaju. Izvor: Sudski registar, www.sudreg.pravosudje.hr, preuzeto 2. prosinca 2020. g.</w:t>
      </w:r>
    </w:p>
  </w:footnote>
  <w:footnote w:id="9">
    <w:p w:rsidR="00387AD7" w:rsidRPr="00387AD7" w:rsidRDefault="00387AD7" w:rsidP="00467C9C">
      <w:pPr>
        <w:pStyle w:val="Tekstfusnote"/>
        <w:shd w:val="clear" w:color="auto" w:fill="FFFFFF" w:themeFill="background1"/>
        <w:spacing w:before="20"/>
        <w:jc w:val="left"/>
        <w:rPr>
          <w:sz w:val="17"/>
          <w:szCs w:val="17"/>
        </w:rPr>
      </w:pPr>
      <w:r w:rsidRPr="00387AD7">
        <w:rPr>
          <w:rStyle w:val="Referencafusnote"/>
          <w:sz w:val="17"/>
          <w:szCs w:val="17"/>
        </w:rPr>
        <w:footnoteRef/>
      </w:r>
      <w:r w:rsidRPr="00387AD7">
        <w:rPr>
          <w:sz w:val="17"/>
          <w:szCs w:val="17"/>
        </w:rPr>
        <w:t xml:space="preserve"> Trgovački sud u Zagrebu </w:t>
      </w:r>
      <w:r w:rsidRPr="00387AD7">
        <w:rPr>
          <w:rFonts w:cs="Arial"/>
          <w:color w:val="003366"/>
          <w:sz w:val="17"/>
          <w:szCs w:val="17"/>
          <w:shd w:val="clear" w:color="auto" w:fill="F8F8F8"/>
        </w:rPr>
        <w:t>16. srpnja 2020. godine brisao je TOYS4PLAY d.o.o. u stečaju. Izvor: Sudski registar, www.sudreg.pravosudje.hr, preuzeto 2. prosinca 2020. g.</w:t>
      </w:r>
    </w:p>
  </w:footnote>
  <w:footnote w:id="10">
    <w:p w:rsidR="00DE1B1C" w:rsidRPr="00DE1B1C" w:rsidRDefault="00DE1B1C" w:rsidP="00467C9C">
      <w:pPr>
        <w:pStyle w:val="Tekstfusnote"/>
        <w:spacing w:before="20"/>
        <w:rPr>
          <w:sz w:val="17"/>
          <w:szCs w:val="17"/>
        </w:rPr>
      </w:pPr>
      <w:r w:rsidRPr="00DE1B1C">
        <w:rPr>
          <w:rStyle w:val="Referencafusnote"/>
          <w:sz w:val="17"/>
          <w:szCs w:val="17"/>
        </w:rPr>
        <w:footnoteRef/>
      </w:r>
      <w:r w:rsidRPr="00DE1B1C">
        <w:rPr>
          <w:sz w:val="17"/>
          <w:szCs w:val="17"/>
        </w:rPr>
        <w:t xml:space="preserve"> Trgovački sud u Pazinu </w:t>
      </w:r>
      <w:r w:rsidRPr="00DE1B1C">
        <w:rPr>
          <w:rFonts w:cs="Arial"/>
          <w:color w:val="003366"/>
          <w:sz w:val="17"/>
          <w:szCs w:val="17"/>
          <w:shd w:val="clear" w:color="auto" w:fill="F8F8F8"/>
        </w:rPr>
        <w:t>31. srpnja 2020. godine</w:t>
      </w:r>
      <w:r>
        <w:rPr>
          <w:rFonts w:cs="Arial"/>
          <w:color w:val="003366"/>
          <w:sz w:val="17"/>
          <w:szCs w:val="17"/>
          <w:shd w:val="clear" w:color="auto" w:fill="F8F8F8"/>
        </w:rPr>
        <w:t xml:space="preserve"> brisao je </w:t>
      </w:r>
      <w:r w:rsidRPr="00DE1B1C">
        <w:rPr>
          <w:rFonts w:cs="Arial"/>
          <w:color w:val="003366"/>
          <w:sz w:val="17"/>
          <w:szCs w:val="17"/>
          <w:shd w:val="clear" w:color="auto" w:fill="F8F8F8"/>
        </w:rPr>
        <w:t>ĐOĐO j.d.o.o.</w:t>
      </w:r>
      <w:r>
        <w:rPr>
          <w:rFonts w:cs="Arial"/>
          <w:color w:val="003366"/>
          <w:sz w:val="17"/>
          <w:szCs w:val="17"/>
          <w:shd w:val="clear" w:color="auto" w:fill="F8F8F8"/>
        </w:rPr>
        <w:t xml:space="preserve"> </w:t>
      </w:r>
      <w:r w:rsidRPr="00DE1B1C">
        <w:rPr>
          <w:rFonts w:cs="Arial"/>
          <w:color w:val="003366"/>
          <w:sz w:val="17"/>
          <w:szCs w:val="17"/>
          <w:shd w:val="clear" w:color="auto" w:fill="F8F8F8"/>
        </w:rPr>
        <w:t>Izvor: Sudski registar, www.sudreg.pravosudje.hr, preuzeto 2. prosinca 2020. 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2" w:rsidRDefault="00B15262" w:rsidP="00CA261D">
    <w:pPr>
      <w:pStyle w:val="Zaglavlje"/>
    </w:pPr>
    <w:r>
      <w:rPr>
        <w:noProof/>
        <w:lang w:eastAsia="hr-HR"/>
      </w:rPr>
      <w:drawing>
        <wp:inline distT="0" distB="0" distL="0" distR="0" wp14:anchorId="4637E4E4" wp14:editId="6954D285">
          <wp:extent cx="1008000" cy="208250"/>
          <wp:effectExtent l="0" t="0" r="1905" b="190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0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C80"/>
    <w:multiLevelType w:val="hybridMultilevel"/>
    <w:tmpl w:val="CCB85872"/>
    <w:lvl w:ilvl="0" w:tplc="A26A51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4406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9"/>
    <w:rsid w:val="00003B7F"/>
    <w:rsid w:val="0001370F"/>
    <w:rsid w:val="00016B12"/>
    <w:rsid w:val="00017D45"/>
    <w:rsid w:val="00020A17"/>
    <w:rsid w:val="00026C1C"/>
    <w:rsid w:val="000327EA"/>
    <w:rsid w:val="0004222B"/>
    <w:rsid w:val="00086EFB"/>
    <w:rsid w:val="000876DF"/>
    <w:rsid w:val="000B0DC5"/>
    <w:rsid w:val="000B3C5A"/>
    <w:rsid w:val="000B69F1"/>
    <w:rsid w:val="000B74C1"/>
    <w:rsid w:val="000C2B7A"/>
    <w:rsid w:val="000C316B"/>
    <w:rsid w:val="000E051D"/>
    <w:rsid w:val="000E0AE7"/>
    <w:rsid w:val="000E48A7"/>
    <w:rsid w:val="000F7077"/>
    <w:rsid w:val="00111048"/>
    <w:rsid w:val="00116CD9"/>
    <w:rsid w:val="00122ECA"/>
    <w:rsid w:val="00131602"/>
    <w:rsid w:val="0013449D"/>
    <w:rsid w:val="00161A55"/>
    <w:rsid w:val="0016246C"/>
    <w:rsid w:val="00174924"/>
    <w:rsid w:val="00181245"/>
    <w:rsid w:val="00186F8C"/>
    <w:rsid w:val="001904C0"/>
    <w:rsid w:val="001A666B"/>
    <w:rsid w:val="001B370D"/>
    <w:rsid w:val="001B5924"/>
    <w:rsid w:val="001C4021"/>
    <w:rsid w:val="001C5A8A"/>
    <w:rsid w:val="001C7662"/>
    <w:rsid w:val="001E275F"/>
    <w:rsid w:val="001F0743"/>
    <w:rsid w:val="00216A58"/>
    <w:rsid w:val="00220903"/>
    <w:rsid w:val="0022274C"/>
    <w:rsid w:val="00225037"/>
    <w:rsid w:val="002353C7"/>
    <w:rsid w:val="00252A70"/>
    <w:rsid w:val="002640E8"/>
    <w:rsid w:val="002806BB"/>
    <w:rsid w:val="002833D7"/>
    <w:rsid w:val="00290243"/>
    <w:rsid w:val="002A7609"/>
    <w:rsid w:val="002B1907"/>
    <w:rsid w:val="002B4088"/>
    <w:rsid w:val="002D48D5"/>
    <w:rsid w:val="002E6624"/>
    <w:rsid w:val="002F3A37"/>
    <w:rsid w:val="00307965"/>
    <w:rsid w:val="0034613E"/>
    <w:rsid w:val="003578B6"/>
    <w:rsid w:val="003719CF"/>
    <w:rsid w:val="00387148"/>
    <w:rsid w:val="00387AD7"/>
    <w:rsid w:val="00387DBE"/>
    <w:rsid w:val="00392ABD"/>
    <w:rsid w:val="003A2309"/>
    <w:rsid w:val="003A4624"/>
    <w:rsid w:val="003C4A66"/>
    <w:rsid w:val="003D00FD"/>
    <w:rsid w:val="003D0D64"/>
    <w:rsid w:val="003D0FDF"/>
    <w:rsid w:val="003D2545"/>
    <w:rsid w:val="003F36E4"/>
    <w:rsid w:val="003F71D3"/>
    <w:rsid w:val="004000EA"/>
    <w:rsid w:val="004222AF"/>
    <w:rsid w:val="004249AB"/>
    <w:rsid w:val="00445A03"/>
    <w:rsid w:val="004533D9"/>
    <w:rsid w:val="004556B2"/>
    <w:rsid w:val="00456853"/>
    <w:rsid w:val="00462250"/>
    <w:rsid w:val="00464666"/>
    <w:rsid w:val="0046685D"/>
    <w:rsid w:val="00467C9C"/>
    <w:rsid w:val="0047546B"/>
    <w:rsid w:val="004777B5"/>
    <w:rsid w:val="00483ED4"/>
    <w:rsid w:val="004857BE"/>
    <w:rsid w:val="004A2DEF"/>
    <w:rsid w:val="004A526E"/>
    <w:rsid w:val="004C7373"/>
    <w:rsid w:val="004C794B"/>
    <w:rsid w:val="004F5BA7"/>
    <w:rsid w:val="004F6063"/>
    <w:rsid w:val="00504F1B"/>
    <w:rsid w:val="00513256"/>
    <w:rsid w:val="00514945"/>
    <w:rsid w:val="0053232D"/>
    <w:rsid w:val="00537806"/>
    <w:rsid w:val="0054591A"/>
    <w:rsid w:val="005502C7"/>
    <w:rsid w:val="005608BF"/>
    <w:rsid w:val="0057220C"/>
    <w:rsid w:val="005A2F7A"/>
    <w:rsid w:val="005A648A"/>
    <w:rsid w:val="005A73F8"/>
    <w:rsid w:val="005B25B6"/>
    <w:rsid w:val="005B2D56"/>
    <w:rsid w:val="005B3FD6"/>
    <w:rsid w:val="005C1122"/>
    <w:rsid w:val="005C41BC"/>
    <w:rsid w:val="005C5161"/>
    <w:rsid w:val="005D024C"/>
    <w:rsid w:val="005D5162"/>
    <w:rsid w:val="005D648A"/>
    <w:rsid w:val="005E0927"/>
    <w:rsid w:val="00603283"/>
    <w:rsid w:val="006072F7"/>
    <w:rsid w:val="00610FBF"/>
    <w:rsid w:val="00612009"/>
    <w:rsid w:val="006133C3"/>
    <w:rsid w:val="00642734"/>
    <w:rsid w:val="006428CF"/>
    <w:rsid w:val="0066067F"/>
    <w:rsid w:val="00675A67"/>
    <w:rsid w:val="006767AF"/>
    <w:rsid w:val="00685925"/>
    <w:rsid w:val="00693A4F"/>
    <w:rsid w:val="00694866"/>
    <w:rsid w:val="006A3153"/>
    <w:rsid w:val="006A4860"/>
    <w:rsid w:val="006A50E9"/>
    <w:rsid w:val="006B2BEB"/>
    <w:rsid w:val="006D3D97"/>
    <w:rsid w:val="006D4A85"/>
    <w:rsid w:val="006D650C"/>
    <w:rsid w:val="006E5DAA"/>
    <w:rsid w:val="006E7911"/>
    <w:rsid w:val="006F3679"/>
    <w:rsid w:val="007056AF"/>
    <w:rsid w:val="00714DC6"/>
    <w:rsid w:val="00715956"/>
    <w:rsid w:val="0072232F"/>
    <w:rsid w:val="00737CC4"/>
    <w:rsid w:val="00767DBE"/>
    <w:rsid w:val="007831B8"/>
    <w:rsid w:val="007972B2"/>
    <w:rsid w:val="007975E4"/>
    <w:rsid w:val="007B352D"/>
    <w:rsid w:val="007D5030"/>
    <w:rsid w:val="007F2A7D"/>
    <w:rsid w:val="00802F90"/>
    <w:rsid w:val="0080664A"/>
    <w:rsid w:val="0083645E"/>
    <w:rsid w:val="008432E2"/>
    <w:rsid w:val="00844FC1"/>
    <w:rsid w:val="008670F0"/>
    <w:rsid w:val="008716E3"/>
    <w:rsid w:val="0087281F"/>
    <w:rsid w:val="00875E46"/>
    <w:rsid w:val="00882624"/>
    <w:rsid w:val="00887C96"/>
    <w:rsid w:val="0089163B"/>
    <w:rsid w:val="008A388B"/>
    <w:rsid w:val="008C2F53"/>
    <w:rsid w:val="008D310F"/>
    <w:rsid w:val="008D43A2"/>
    <w:rsid w:val="008D52E0"/>
    <w:rsid w:val="008E776A"/>
    <w:rsid w:val="008F57EA"/>
    <w:rsid w:val="00910E23"/>
    <w:rsid w:val="00913456"/>
    <w:rsid w:val="0092611E"/>
    <w:rsid w:val="009404CB"/>
    <w:rsid w:val="00942469"/>
    <w:rsid w:val="009424A9"/>
    <w:rsid w:val="0094310B"/>
    <w:rsid w:val="00952616"/>
    <w:rsid w:val="009629C6"/>
    <w:rsid w:val="009663A4"/>
    <w:rsid w:val="00970E52"/>
    <w:rsid w:val="009762F5"/>
    <w:rsid w:val="009814E6"/>
    <w:rsid w:val="00982F1D"/>
    <w:rsid w:val="00983E09"/>
    <w:rsid w:val="00984B81"/>
    <w:rsid w:val="0099695D"/>
    <w:rsid w:val="009A3DC0"/>
    <w:rsid w:val="009B0EA0"/>
    <w:rsid w:val="009B2ED8"/>
    <w:rsid w:val="009C63E5"/>
    <w:rsid w:val="009E17CA"/>
    <w:rsid w:val="009E5E44"/>
    <w:rsid w:val="009E5F78"/>
    <w:rsid w:val="009F076A"/>
    <w:rsid w:val="009F4F23"/>
    <w:rsid w:val="00A0399C"/>
    <w:rsid w:val="00A1069E"/>
    <w:rsid w:val="00A11207"/>
    <w:rsid w:val="00A12B5A"/>
    <w:rsid w:val="00A20B47"/>
    <w:rsid w:val="00A24764"/>
    <w:rsid w:val="00A31F85"/>
    <w:rsid w:val="00A3313E"/>
    <w:rsid w:val="00A359F2"/>
    <w:rsid w:val="00A35E11"/>
    <w:rsid w:val="00A410C6"/>
    <w:rsid w:val="00A44FA3"/>
    <w:rsid w:val="00A55D41"/>
    <w:rsid w:val="00A61634"/>
    <w:rsid w:val="00A66993"/>
    <w:rsid w:val="00A74C62"/>
    <w:rsid w:val="00A8335B"/>
    <w:rsid w:val="00A86ED1"/>
    <w:rsid w:val="00A877AF"/>
    <w:rsid w:val="00A90E3F"/>
    <w:rsid w:val="00A90E6E"/>
    <w:rsid w:val="00AB0DD8"/>
    <w:rsid w:val="00AC426E"/>
    <w:rsid w:val="00AC70AF"/>
    <w:rsid w:val="00AD01E9"/>
    <w:rsid w:val="00AF0BCA"/>
    <w:rsid w:val="00B02F19"/>
    <w:rsid w:val="00B11B89"/>
    <w:rsid w:val="00B1201B"/>
    <w:rsid w:val="00B150A4"/>
    <w:rsid w:val="00B15262"/>
    <w:rsid w:val="00B1691D"/>
    <w:rsid w:val="00B2189B"/>
    <w:rsid w:val="00B44330"/>
    <w:rsid w:val="00B51794"/>
    <w:rsid w:val="00B61418"/>
    <w:rsid w:val="00B62A04"/>
    <w:rsid w:val="00B825A7"/>
    <w:rsid w:val="00B836FC"/>
    <w:rsid w:val="00B96338"/>
    <w:rsid w:val="00BA26B9"/>
    <w:rsid w:val="00BB586C"/>
    <w:rsid w:val="00BC2D19"/>
    <w:rsid w:val="00BC3CD8"/>
    <w:rsid w:val="00BC7669"/>
    <w:rsid w:val="00BD2525"/>
    <w:rsid w:val="00BE756A"/>
    <w:rsid w:val="00C040DF"/>
    <w:rsid w:val="00C111B9"/>
    <w:rsid w:val="00C12D93"/>
    <w:rsid w:val="00C15B1E"/>
    <w:rsid w:val="00C20099"/>
    <w:rsid w:val="00C20DE4"/>
    <w:rsid w:val="00C34D84"/>
    <w:rsid w:val="00C40829"/>
    <w:rsid w:val="00C443DF"/>
    <w:rsid w:val="00C5577C"/>
    <w:rsid w:val="00C603B6"/>
    <w:rsid w:val="00C85582"/>
    <w:rsid w:val="00C91379"/>
    <w:rsid w:val="00C95B4C"/>
    <w:rsid w:val="00CA261D"/>
    <w:rsid w:val="00CC18A1"/>
    <w:rsid w:val="00CC521D"/>
    <w:rsid w:val="00CC5922"/>
    <w:rsid w:val="00CD1B65"/>
    <w:rsid w:val="00CD6023"/>
    <w:rsid w:val="00CD7396"/>
    <w:rsid w:val="00CD747C"/>
    <w:rsid w:val="00CE1877"/>
    <w:rsid w:val="00CE1BFB"/>
    <w:rsid w:val="00CE3149"/>
    <w:rsid w:val="00CE5B52"/>
    <w:rsid w:val="00CF120F"/>
    <w:rsid w:val="00CF37A6"/>
    <w:rsid w:val="00D02C44"/>
    <w:rsid w:val="00D030ED"/>
    <w:rsid w:val="00D1372B"/>
    <w:rsid w:val="00D16680"/>
    <w:rsid w:val="00D224E2"/>
    <w:rsid w:val="00D26BEC"/>
    <w:rsid w:val="00D27342"/>
    <w:rsid w:val="00D30751"/>
    <w:rsid w:val="00D30E5F"/>
    <w:rsid w:val="00D37470"/>
    <w:rsid w:val="00D41D49"/>
    <w:rsid w:val="00D422F6"/>
    <w:rsid w:val="00D43F57"/>
    <w:rsid w:val="00D525B3"/>
    <w:rsid w:val="00D5363B"/>
    <w:rsid w:val="00D53A5E"/>
    <w:rsid w:val="00D83AFA"/>
    <w:rsid w:val="00D877B3"/>
    <w:rsid w:val="00D95501"/>
    <w:rsid w:val="00DA7704"/>
    <w:rsid w:val="00DB02B2"/>
    <w:rsid w:val="00DB202C"/>
    <w:rsid w:val="00DB2231"/>
    <w:rsid w:val="00DB5BB9"/>
    <w:rsid w:val="00DC6989"/>
    <w:rsid w:val="00DE1B1C"/>
    <w:rsid w:val="00DF6E16"/>
    <w:rsid w:val="00E0132F"/>
    <w:rsid w:val="00E05EA9"/>
    <w:rsid w:val="00E1424E"/>
    <w:rsid w:val="00E14D1F"/>
    <w:rsid w:val="00E1566D"/>
    <w:rsid w:val="00E243DF"/>
    <w:rsid w:val="00E43816"/>
    <w:rsid w:val="00E46652"/>
    <w:rsid w:val="00E5018E"/>
    <w:rsid w:val="00E7121C"/>
    <w:rsid w:val="00EA76A4"/>
    <w:rsid w:val="00EB2D40"/>
    <w:rsid w:val="00EB745D"/>
    <w:rsid w:val="00EC0581"/>
    <w:rsid w:val="00EC5318"/>
    <w:rsid w:val="00ED09E9"/>
    <w:rsid w:val="00ED63FD"/>
    <w:rsid w:val="00EF31FD"/>
    <w:rsid w:val="00F07B10"/>
    <w:rsid w:val="00F114D7"/>
    <w:rsid w:val="00F1455A"/>
    <w:rsid w:val="00F22447"/>
    <w:rsid w:val="00F22588"/>
    <w:rsid w:val="00F23442"/>
    <w:rsid w:val="00F24CF4"/>
    <w:rsid w:val="00F27BBC"/>
    <w:rsid w:val="00F308C9"/>
    <w:rsid w:val="00F311D7"/>
    <w:rsid w:val="00F437F4"/>
    <w:rsid w:val="00F6070B"/>
    <w:rsid w:val="00F84810"/>
    <w:rsid w:val="00F86DC4"/>
    <w:rsid w:val="00F97216"/>
    <w:rsid w:val="00FA0401"/>
    <w:rsid w:val="00FA092A"/>
    <w:rsid w:val="00FA20E2"/>
    <w:rsid w:val="00FB4EF5"/>
    <w:rsid w:val="00FC6E3B"/>
    <w:rsid w:val="00FE0A23"/>
    <w:rsid w:val="00FF378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838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na.hr/info.bi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na.hr/info.biz" TargetMode="External"/><Relationship Id="rId2" Type="http://schemas.openxmlformats.org/officeDocument/2006/relationships/hyperlink" Target="https://www.fina.hr/zakoni-i-podzakonski-propisi" TargetMode="External"/><Relationship Id="rId1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AB2A-6752-4B15-BF41-E1423F5D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POSLOVANJE PODUZETNIKA U DJELATNOSTI TRGOVINE NA MALO IGRAMA I IGRAČKAMA U SPECIJALIZIRANIM PRODAVAONICAMA U RAZDOBLJU OD 2010</vt:lpstr>
      <vt:lpstr>POSLOVANJE PODUZETNIKA U DJELATNOSTI TRGOVINE NA MALO IGRAMA I IGRAČKAMA U SPECIJALIZIRANIM PRODAVAONICAMA U RAZDOBLJU OD 2010</vt:lpstr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POSLOVANJE PODUZETNIKA U DJELATNOSTI TRGOVINE NA MALO IGRAMA I IGRAČKAMA U SPECIJALIZIRANIM PRODAVAONICAMA U RAZDOBLJU OD 2010</dc:title>
  <dc:creator>Ivona Škara</dc:creator>
  <cp:lastModifiedBy>Vesna Kavur</cp:lastModifiedBy>
  <cp:revision>2</cp:revision>
  <cp:lastPrinted>2015-11-19T14:30:00Z</cp:lastPrinted>
  <dcterms:created xsi:type="dcterms:W3CDTF">2020-12-03T08:25:00Z</dcterms:created>
  <dcterms:modified xsi:type="dcterms:W3CDTF">2020-12-03T08:25:00Z</dcterms:modified>
</cp:coreProperties>
</file>