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845A6B" w:rsidRDefault="00466FEA" w:rsidP="00057EE3">
      <w:pPr>
        <w:spacing w:line="240" w:lineRule="auto"/>
        <w:jc w:val="center"/>
        <w:outlineLvl w:val="0"/>
        <w:rPr>
          <w:rFonts w:ascii="Arial" w:hAnsi="Arial" w:cs="Arial"/>
          <w:b/>
          <w:color w:val="244061" w:themeColor="accent1" w:themeShade="80"/>
        </w:rPr>
      </w:pPr>
      <w:bookmarkStart w:id="0" w:name="_GoBack"/>
      <w:bookmarkEnd w:id="0"/>
      <w:r w:rsidRPr="00845A6B">
        <w:rPr>
          <w:rFonts w:ascii="Arial" w:hAnsi="Arial" w:cs="Arial"/>
          <w:b/>
          <w:color w:val="244061" w:themeColor="accent1" w:themeShade="80"/>
        </w:rPr>
        <w:t>FINANCIJSKI REZULTATI POSLOVANJA PODUZETNIKA SA SJEDIŠTEM NA</w:t>
      </w:r>
      <w:r w:rsidR="00191033" w:rsidRPr="00845A6B">
        <w:rPr>
          <w:rFonts w:ascii="Arial" w:hAnsi="Arial" w:cs="Arial"/>
          <w:b/>
          <w:color w:val="244061" w:themeColor="accent1" w:themeShade="80"/>
        </w:rPr>
        <w:t xml:space="preserve"> </w:t>
      </w:r>
      <w:r w:rsidRPr="00845A6B">
        <w:rPr>
          <w:rFonts w:ascii="Arial" w:hAnsi="Arial" w:cs="Arial"/>
          <w:b/>
          <w:color w:val="244061" w:themeColor="accent1" w:themeShade="80"/>
        </w:rPr>
        <w:t xml:space="preserve">PODRUČJU URBANE AGLOMERACIJE </w:t>
      </w:r>
      <w:r w:rsidR="00D31187" w:rsidRPr="00845A6B">
        <w:rPr>
          <w:rFonts w:ascii="Arial" w:hAnsi="Arial" w:cs="Arial"/>
          <w:b/>
          <w:color w:val="244061" w:themeColor="accent1" w:themeShade="80"/>
        </w:rPr>
        <w:t>OSIJEK</w:t>
      </w:r>
      <w:r w:rsidR="006A09EC" w:rsidRPr="00845A6B">
        <w:t xml:space="preserve"> </w:t>
      </w:r>
      <w:r w:rsidR="006A09EC" w:rsidRPr="00845A6B">
        <w:rPr>
          <w:rFonts w:ascii="Arial" w:hAnsi="Arial" w:cs="Arial"/>
          <w:b/>
          <w:color w:val="244061" w:themeColor="accent1" w:themeShade="80"/>
        </w:rPr>
        <w:t>U 2019. GODINI</w:t>
      </w:r>
    </w:p>
    <w:p w:rsidR="004C0114" w:rsidRPr="00845A6B" w:rsidRDefault="001C2315" w:rsidP="00397448">
      <w:pPr>
        <w:spacing w:before="180" w:after="180"/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</w:pP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U</w:t>
      </w:r>
      <w:r w:rsidR="006F5B84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sastav</w:t>
      </w:r>
      <w:r w:rsidR="008F7D26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u</w:t>
      </w:r>
      <w:r w:rsidR="006F5B84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Urbane aglomeracije Osijek </w:t>
      </w:r>
      <w:r w:rsidR="00856294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19</w:t>
      </w:r>
      <w:r w:rsidR="006F5B84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</w:t>
      </w:r>
      <w:r w:rsidR="00A76B45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je lokalnih </w:t>
      </w:r>
      <w:r w:rsidR="006647CD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jedinica</w:t>
      </w:r>
      <w:r w:rsidR="00A76B45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,</w:t>
      </w:r>
      <w:r w:rsidR="006F5B84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647CD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gradovi </w:t>
      </w:r>
      <w:r w:rsidR="006F5B84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Osijek</w:t>
      </w:r>
      <w:r w:rsidR="00A76B45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,</w:t>
      </w:r>
      <w:r w:rsidR="00730F34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</w:t>
      </w:r>
      <w:r w:rsidR="00856294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Belišće</w:t>
      </w:r>
      <w:r w:rsidR="00957686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</w:t>
      </w:r>
      <w:r w:rsidR="006F5B84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i Valpovo te općine Antunovac, Bilje, Bizovac, Čepin, Erdut, Ernestinovo, Petrijevci, Vladislavci, Vuka, Čeminac, Darda, Koška, </w:t>
      </w:r>
      <w:r w:rsidR="00856294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Kneževi Vinogradi, </w:t>
      </w:r>
      <w:r w:rsidR="006F5B84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Punitovci, Šodolovci i Tordinci.</w:t>
      </w:r>
      <w:r w:rsidR="008F1597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</w:t>
      </w:r>
    </w:p>
    <w:tbl>
      <w:tblPr>
        <w:tblStyle w:val="Reetkatablic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353"/>
      </w:tblGrid>
      <w:tr w:rsidR="008F1597" w:rsidTr="00397448">
        <w:trPr>
          <w:trHeight w:val="3639"/>
          <w:jc w:val="center"/>
        </w:trPr>
        <w:tc>
          <w:tcPr>
            <w:tcW w:w="5286" w:type="dxa"/>
          </w:tcPr>
          <w:p w:rsidR="00A76B45" w:rsidRPr="00845A6B" w:rsidRDefault="00A76B45" w:rsidP="00A76B45">
            <w:pP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845A6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Shema 1.   Područje Urbane aglomeracije Osijek</w:t>
            </w:r>
          </w:p>
          <w:p w:rsidR="008F1597" w:rsidRPr="00845A6B" w:rsidRDefault="001A2CD8" w:rsidP="001A2CD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45A6B">
              <w:rPr>
                <w:rFonts w:ascii="Arial" w:eastAsia="Times New Roman" w:hAnsi="Arial" w:cs="Arial"/>
                <w:noProof/>
                <w:color w:val="244061" w:themeColor="accent1" w:themeShade="80"/>
                <w:sz w:val="20"/>
                <w:szCs w:val="20"/>
                <w:shd w:val="clear" w:color="auto" w:fill="FFFFFF"/>
                <w:lang w:val="en-US"/>
              </w:rPr>
              <w:drawing>
                <wp:inline distT="0" distB="0" distL="0" distR="0" wp14:anchorId="1FEFAA91" wp14:editId="486F43C8">
                  <wp:extent cx="3108960" cy="1988254"/>
                  <wp:effectExtent l="57150" t="57150" r="53340" b="50165"/>
                  <wp:docPr id="8" name="Slika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1988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63500">
                              <a:schemeClr val="accent6">
                                <a:satMod val="175000"/>
                                <a:alpha val="40000"/>
                              </a:schemeClr>
                            </a:glow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3" w:type="dxa"/>
          </w:tcPr>
          <w:p w:rsidR="00397448" w:rsidRPr="00845A6B" w:rsidRDefault="00397448" w:rsidP="003C7B43">
            <w:pPr>
              <w:spacing w:line="276" w:lineRule="auto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  <w:p w:rsidR="008F1597" w:rsidRPr="00845A6B" w:rsidRDefault="008F1597" w:rsidP="003C7B43">
            <w:pPr>
              <w:spacing w:line="276" w:lineRule="auto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Na području </w:t>
            </w:r>
            <w:r w:rsidR="00397448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obuhvaćenom</w:t>
            </w: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Urban</w:t>
            </w:r>
            <w:r w:rsidR="001A2CD8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om</w:t>
            </w: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aglomeracij</w:t>
            </w:r>
            <w:r w:rsidR="001A2CD8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om</w:t>
            </w: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Osijek</w:t>
            </w:r>
            <w:r w:rsidR="00AF7FED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</w:t>
            </w:r>
            <w:r w:rsidR="001C2315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u 201</w:t>
            </w:r>
            <w:r w:rsidR="007042BA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</w:t>
            </w: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. godini </w:t>
            </w:r>
            <w:r w:rsidR="008F5FDF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poslovao</w:t>
            </w: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je </w:t>
            </w:r>
            <w:r w:rsidR="003143E7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</w:t>
            </w:r>
            <w:r w:rsidR="0044036A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843B61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391</w:t>
            </w: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poduzetnik. Riječ je o poduzetnicima koji su sastavili i u Registar godišnjih financijskih izvještaja podnijeli točan i potpun godišnji financijski izvještaj za 201</w:t>
            </w:r>
            <w:r w:rsidR="007042BA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</w:t>
            </w: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 godinu.</w:t>
            </w:r>
            <w:r w:rsidR="003C7B43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817174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Od navedenog</w:t>
            </w: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broja, najviše je poduzetnika sa područja grada Osijeka (</w:t>
            </w:r>
            <w:r w:rsidR="003143E7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</w:t>
            </w:r>
            <w:r w:rsidR="005F06D8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843B61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249</w:t>
            </w: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), a najmanje u općini </w:t>
            </w:r>
            <w:r w:rsidR="003143E7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Punitovci</w:t>
            </w: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(</w:t>
            </w:r>
            <w:r w:rsidR="003143E7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</w:t>
            </w:r>
            <w:r w:rsidR="00843B61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</w:t>
            </w: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). Kod </w:t>
            </w:r>
            <w:r w:rsidR="00843B61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4.391</w:t>
            </w: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 bilo je </w:t>
            </w:r>
            <w:r w:rsidR="00843B61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31.329 </w:t>
            </w: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zaposlenih, što je prosječno </w:t>
            </w:r>
            <w:r w:rsidR="000572FB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7,</w:t>
            </w:r>
            <w:r w:rsidR="00843B61"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</w:t>
            </w:r>
            <w:r w:rsidRPr="00845A6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 po poduzetniku.</w:t>
            </w:r>
          </w:p>
          <w:p w:rsidR="003C7B43" w:rsidRPr="00845A6B" w:rsidRDefault="003C7B43" w:rsidP="004D5790">
            <w:pPr>
              <w:spacing w:before="180" w:line="276" w:lineRule="auto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</w:p>
        </w:tc>
      </w:tr>
    </w:tbl>
    <w:p w:rsidR="0044036A" w:rsidRPr="00845A6B" w:rsidRDefault="007042BA" w:rsidP="00501589">
      <w:pPr>
        <w:widowControl w:val="0"/>
        <w:spacing w:before="60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2019</w:t>
      </w:r>
      <w:r w:rsidR="00397448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poduzetnici Urbane aglomeracije Osijek iskazali su pozitivan konsolidirani financijski rezultat (</w:t>
      </w:r>
      <w:r w:rsidR="005B7A1B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319,5</w:t>
      </w:r>
      <w:r w:rsidR="00397448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5B7A1B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397448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kuna). </w:t>
      </w:r>
      <w:r w:rsidR="003A2F4A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 ukupnog broja poduzetnika promatranog područja</w:t>
      </w:r>
      <w:r w:rsidR="00501589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3A2F4A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dobitkom je poslovalo</w:t>
      </w:r>
      <w:r w:rsidR="00E16330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D5790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7D1C33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5B7A1B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917</w:t>
      </w:r>
      <w:r w:rsidR="00A11C89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5B7A1B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66,4</w:t>
      </w:r>
      <w:r w:rsidR="00A11C89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%)</w:t>
      </w:r>
      <w:r w:rsidR="00E16330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poduzetnika, a s gubitkom </w:t>
      </w:r>
      <w:r w:rsidR="003A2F4A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njih </w:t>
      </w:r>
      <w:r w:rsidR="004D5790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7D1C33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5B7A1B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474</w:t>
      </w:r>
      <w:r w:rsidR="00A11C89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5B7A1B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33,6</w:t>
      </w:r>
      <w:r w:rsidR="00A11C89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%)</w:t>
      </w:r>
      <w:r w:rsidR="003A2F4A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3A2F4A" w:rsidRPr="00845A6B" w:rsidRDefault="003A2F4A" w:rsidP="0053222C">
      <w:pPr>
        <w:widowControl w:val="0"/>
        <w:spacing w:before="180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Ukupan prihod navedene skupine poduzetnika koji je ostvaren u 201</w:t>
      </w:r>
      <w:r w:rsidR="0053222C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iznosio je </w:t>
      </w:r>
      <w:r w:rsidR="004D5790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21,</w:t>
      </w:r>
      <w:r w:rsidR="0053222C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44036A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0572FB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</w:t>
      </w:r>
      <w:r w:rsidR="0053222C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9,6</w:t>
      </w: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u odnosu na prethodnu poslovnu godinu</w:t>
      </w:r>
      <w:r w:rsidR="000572FB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U</w:t>
      </w:r>
      <w:r w:rsidR="00191033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kupan rashod navedene skupine poduzetnika ostvaren u 201</w:t>
      </w:r>
      <w:r w:rsidR="0053222C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191033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iznosio </w:t>
      </w:r>
      <w:r w:rsidR="00AC556C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="004D5790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21,</w:t>
      </w:r>
      <w:r w:rsidR="0053222C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</w:t>
      </w:r>
      <w:r w:rsidR="00191033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AC556C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191033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="00AC556C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191033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A1907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što je </w:t>
      </w:r>
      <w:r w:rsidR="0053222C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="007A1907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</w:t>
      </w:r>
      <w:r w:rsidR="004D5790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53222C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4D5790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53222C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7A1907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u odnosu na prethodnu poslovnu godinu</w:t>
      </w:r>
      <w:r w:rsidR="0053222C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3C0074" w:rsidRPr="00C2581F" w:rsidRDefault="003C0074" w:rsidP="008F1597">
      <w:pPr>
        <w:widowControl w:val="0"/>
        <w:tabs>
          <w:tab w:val="left" w:pos="0"/>
        </w:tabs>
        <w:spacing w:before="180" w:after="6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9"/>
          <w:szCs w:val="19"/>
        </w:rPr>
      </w:pPr>
      <w:r w:rsidRPr="00845A6B">
        <w:rPr>
          <w:rFonts w:ascii="Arial" w:hAnsi="Arial" w:cs="Arial"/>
          <w:b/>
          <w:color w:val="244061" w:themeColor="accent1" w:themeShade="80"/>
          <w:sz w:val="18"/>
          <w:szCs w:val="18"/>
        </w:rPr>
        <w:t>Tablica 1.</w:t>
      </w:r>
      <w:r w:rsidRPr="00845A6B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="00F67D8E" w:rsidRPr="00845A6B">
        <w:rPr>
          <w:rFonts w:ascii="Arial" w:hAnsi="Arial" w:cs="Arial"/>
          <w:b/>
          <w:color w:val="244061" w:themeColor="accent1" w:themeShade="80"/>
          <w:sz w:val="18"/>
          <w:szCs w:val="18"/>
        </w:rPr>
        <w:t>Broj poduzetnika i zaposlenih te o</w:t>
      </w:r>
      <w:r w:rsidRPr="00845A6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snovni financijski </w:t>
      </w:r>
      <w:r w:rsidR="008F1597" w:rsidRPr="00845A6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rezultati </w:t>
      </w:r>
      <w:r w:rsidRPr="00845A6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poduzetnika </w:t>
      </w:r>
      <w:r w:rsidR="008F1597" w:rsidRPr="00845A6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sa sjedištem na području </w:t>
      </w:r>
      <w:r w:rsidRPr="00845A6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Urbane aglomeracije </w:t>
      </w:r>
      <w:r w:rsidR="005749A0" w:rsidRPr="00845A6B">
        <w:rPr>
          <w:rFonts w:ascii="Arial" w:hAnsi="Arial" w:cs="Arial"/>
          <w:b/>
          <w:color w:val="244061" w:themeColor="accent1" w:themeShade="80"/>
          <w:sz w:val="18"/>
          <w:szCs w:val="18"/>
        </w:rPr>
        <w:t>Osijek</w:t>
      </w:r>
      <w:r w:rsidR="004F0B60" w:rsidRPr="00845A6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u </w:t>
      </w:r>
      <w:r w:rsidR="0053222C" w:rsidRPr="00845A6B">
        <w:rPr>
          <w:rFonts w:ascii="Arial" w:hAnsi="Arial" w:cs="Arial"/>
          <w:b/>
          <w:color w:val="244061" w:themeColor="accent1" w:themeShade="80"/>
          <w:sz w:val="18"/>
          <w:szCs w:val="18"/>
        </w:rPr>
        <w:t>2019.</w:t>
      </w:r>
      <w:r w:rsidRPr="00845A6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A24E14" w:rsidRPr="00845A6B">
        <w:rPr>
          <w:rFonts w:ascii="Arial" w:hAnsi="Arial" w:cs="Arial"/>
          <w:b/>
          <w:color w:val="244061" w:themeColor="accent1" w:themeShade="80"/>
          <w:sz w:val="18"/>
          <w:szCs w:val="18"/>
        </w:rPr>
        <w:t>godini</w:t>
      </w:r>
      <w:r w:rsidRPr="00845A6B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Pr="00845A6B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Pr="00845A6B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4F7B3C" w:rsidRPr="00845A6B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05552F" w:rsidRPr="00845A6B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397448" w:rsidRPr="009016C0">
        <w:rPr>
          <w:rFonts w:ascii="Arial" w:hAnsi="Arial" w:cs="Arial"/>
          <w:i/>
          <w:color w:val="244061" w:themeColor="accent1" w:themeShade="80"/>
          <w:sz w:val="19"/>
          <w:szCs w:val="19"/>
        </w:rPr>
        <w:t xml:space="preserve">   </w:t>
      </w:r>
      <w:r w:rsidRPr="009016C0">
        <w:rPr>
          <w:rFonts w:ascii="Arial" w:eastAsia="Calibri" w:hAnsi="Arial" w:cs="Arial"/>
          <w:i/>
          <w:color w:val="17365D"/>
          <w:sz w:val="16"/>
          <w:szCs w:val="18"/>
        </w:rPr>
        <w:t>(iznosi u tisućama kuna)</w:t>
      </w:r>
    </w:p>
    <w:tbl>
      <w:tblPr>
        <w:tblW w:w="975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323"/>
        <w:gridCol w:w="1191"/>
        <w:gridCol w:w="1134"/>
        <w:gridCol w:w="1134"/>
        <w:gridCol w:w="1134"/>
        <w:gridCol w:w="1134"/>
        <w:gridCol w:w="1135"/>
      </w:tblGrid>
      <w:tr w:rsidR="00535110" w:rsidRPr="0076480E" w:rsidTr="00722DDF">
        <w:trPr>
          <w:trHeight w:val="482"/>
          <w:tblHeader/>
          <w:jc w:val="center"/>
        </w:trPr>
        <w:tc>
          <w:tcPr>
            <w:tcW w:w="5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35110" w:rsidRPr="003C116E" w:rsidRDefault="00535110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722DDF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6"/>
                <w:lang w:eastAsia="hr-HR"/>
              </w:rPr>
              <w:t>R</w:t>
            </w:r>
            <w:r w:rsidR="00722DDF" w:rsidRPr="00722DDF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6"/>
                <w:lang w:eastAsia="hr-HR"/>
              </w:rPr>
              <w:t>.</w:t>
            </w:r>
            <w:r w:rsidRPr="00722DDF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6"/>
                <w:lang w:eastAsia="hr-HR"/>
              </w:rPr>
              <w:t>br</w:t>
            </w:r>
            <w:r w:rsidR="00722DDF" w:rsidRPr="00722DDF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6"/>
                <w:lang w:eastAsia="hr-HR"/>
              </w:rPr>
              <w:t>.</w:t>
            </w: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3C007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grada/općine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3C007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3C007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3C007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3C007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3C007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1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3C007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Neto dobit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644766" w:rsidRDefault="003F5E1D" w:rsidP="00644766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Belišće/grad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128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2.007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1.798.862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64.801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2.172 </w:t>
            </w:r>
          </w:p>
        </w:tc>
        <w:tc>
          <w:tcPr>
            <w:tcW w:w="1135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62.629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535110" w:rsidRDefault="003F5E1D" w:rsidP="006442A7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Osijek/grad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3.249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22.572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15.254.405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675.270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493.367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181.903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535110" w:rsidRDefault="003F5E1D" w:rsidP="006442A7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Valpovo/grad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483.640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31.142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4.815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26.328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644766" w:rsidRDefault="003F5E1D" w:rsidP="006442A7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Antunovac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166.371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7.097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2.479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4.618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3F5E1D" w:rsidRPr="00644766" w:rsidRDefault="003F5E1D" w:rsidP="00644766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Bilje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207.165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11.227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3.126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8.101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3F5E1D" w:rsidRPr="00644766" w:rsidRDefault="003F5E1D" w:rsidP="00644766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Bizovac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143.099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6.507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6.673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-166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3F5E1D" w:rsidRPr="00644766" w:rsidRDefault="003F5E1D" w:rsidP="00644766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Čeminac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28.220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1.027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-52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F5E1D" w:rsidRPr="00644766" w:rsidRDefault="003F5E1D" w:rsidP="00644766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Čepin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857.984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33.815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25.423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8.392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F5E1D" w:rsidRPr="00644766" w:rsidRDefault="003F5E1D" w:rsidP="00644766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Darda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2.371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1.682.824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73.425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83.099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-9.673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F5E1D" w:rsidRPr="00644766" w:rsidRDefault="003F5E1D" w:rsidP="00A41BEE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Erdut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126.212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5.758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1.183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4.575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F5E1D" w:rsidRPr="00644766" w:rsidRDefault="003F5E1D" w:rsidP="00644766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Ernestinovo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56.893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2.415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568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1.847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44766" w:rsidRDefault="003F5E1D" w:rsidP="00CD4893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Kneževi Vinogradi/općina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247.308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10.368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944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9.425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F5E1D" w:rsidRPr="00644766" w:rsidRDefault="003F5E1D" w:rsidP="00644766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Koška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161.991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9.608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448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9.160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44766" w:rsidRDefault="003F5E1D" w:rsidP="00644766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Petrijevci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85.719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4.202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466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3.736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44766" w:rsidRDefault="003F5E1D" w:rsidP="00644766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Punitovci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56.977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2.629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161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2.468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44766" w:rsidRDefault="003F5E1D" w:rsidP="006442A7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Šodolovci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31.458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1.625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44766" w:rsidRDefault="003F5E1D" w:rsidP="00644766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Tordinci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78.456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5.471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4.915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556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44766" w:rsidRDefault="003F5E1D" w:rsidP="00644766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Vladislavci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22.664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1.478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737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741 </w:t>
            </w:r>
          </w:p>
        </w:tc>
      </w:tr>
      <w:tr w:rsidR="003F5E1D" w:rsidRPr="0076480E" w:rsidTr="00722DDF">
        <w:trPr>
          <w:cantSplit/>
          <w:trHeight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3F5E1D" w:rsidRPr="00535110" w:rsidRDefault="003F5E1D" w:rsidP="00D90DF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19.</w:t>
            </w:r>
          </w:p>
        </w:tc>
        <w:tc>
          <w:tcPr>
            <w:tcW w:w="232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44766" w:rsidRDefault="003F5E1D" w:rsidP="0068339A">
            <w:pPr>
              <w:spacing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Vuka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696359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49.169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4.223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913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3F5E1D" w:rsidRPr="003F5E1D" w:rsidRDefault="003F5E1D" w:rsidP="003F5E1D">
            <w:pPr>
              <w:spacing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3.310 </w:t>
            </w:r>
          </w:p>
        </w:tc>
      </w:tr>
      <w:tr w:rsidR="0068339A" w:rsidRPr="0076480E" w:rsidTr="00DF2058">
        <w:trPr>
          <w:cantSplit/>
          <w:trHeight w:val="283"/>
          <w:jc w:val="center"/>
        </w:trPr>
        <w:tc>
          <w:tcPr>
            <w:tcW w:w="28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000000" w:fill="BFBFBF"/>
            <w:vAlign w:val="center"/>
          </w:tcPr>
          <w:p w:rsidR="0068339A" w:rsidRPr="004F7B3C" w:rsidRDefault="0068339A" w:rsidP="001C231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Ukupno </w:t>
            </w:r>
            <w:r w:rsidR="001C231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UA</w:t>
            </w: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E620FE" w:rsidRDefault="00843B61" w:rsidP="003C116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4.391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E620FE" w:rsidRDefault="00696359" w:rsidP="0068339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696359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31.329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794E7E" w:rsidRDefault="003F5E1D" w:rsidP="00794E7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21.539.416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794E7E" w:rsidRDefault="003F5E1D" w:rsidP="00794E7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952.094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794E7E" w:rsidRDefault="003F5E1D" w:rsidP="00794E7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632.571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794E7E" w:rsidRDefault="003F5E1D" w:rsidP="00794E7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3F5E1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319.522</w:t>
            </w:r>
          </w:p>
        </w:tc>
      </w:tr>
    </w:tbl>
    <w:p w:rsidR="003C0074" w:rsidRPr="004946AC" w:rsidRDefault="003C0074" w:rsidP="003C0074">
      <w:pPr>
        <w:spacing w:before="4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izvještaja, obrada </w:t>
      </w:r>
      <w:r w:rsidR="001C231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GFI-a za </w:t>
      </w:r>
      <w:r w:rsidR="0053222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2019.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godinu</w:t>
      </w:r>
    </w:p>
    <w:p w:rsidR="003A2F4A" w:rsidRPr="00845A6B" w:rsidRDefault="00F96C08" w:rsidP="003C7B43">
      <w:pPr>
        <w:pageBreakBefore/>
        <w:widowControl w:val="0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U</w:t>
      </w:r>
      <w:r w:rsidR="003A2F4A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ostvarenim </w:t>
      </w:r>
      <w:r w:rsidR="003A2F4A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ukupnim prihodima Urbane aglomeracije Osijek</w:t>
      </w:r>
      <w:r w:rsidR="00057EE3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najveći je udio poduzetnika sa sjedištem u gradu Osijeku sa udjelom od </w:t>
      </w:r>
      <w:r w:rsidR="003F5E1D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70,8</w:t>
      </w:r>
      <w:r w:rsidR="00057EE3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3F12ED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slijede </w:t>
      </w:r>
      <w:r w:rsidR="003A2F4A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</w:t>
      </w:r>
      <w:r w:rsidR="003F12ED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sjedištem u </w:t>
      </w:r>
      <w:r w:rsidR="00BD7E78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Belišću </w:t>
      </w:r>
      <w:r w:rsidR="003F12ED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sa udjelom od</w:t>
      </w:r>
      <w:r w:rsidR="003A2F4A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3F5E1D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2C14A2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3A2F4A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i</w:t>
      </w:r>
      <w:r w:rsidR="008656FA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Dardi </w:t>
      </w:r>
      <w:r w:rsidR="003A2F4A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</w:t>
      </w:r>
      <w:r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udjelom od </w:t>
      </w:r>
      <w:r w:rsidR="003F5E1D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7,8</w:t>
      </w:r>
      <w:r w:rsidR="003A2F4A" w:rsidRPr="00845A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</w:p>
    <w:p w:rsidR="009D6668" w:rsidRPr="00845A6B" w:rsidRDefault="009D6668" w:rsidP="00F67D8E">
      <w:pPr>
        <w:widowControl w:val="0"/>
        <w:spacing w:before="120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>Na području gradova i općina u sastavu Urbane aglomeracije Osijek</w:t>
      </w:r>
      <w:r w:rsidR="00E2050D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(bez poduzetnika općine Tordinci</w:t>
      </w:r>
      <w:r w:rsidR="003F12ED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koja je u sastavu Vukovarsko</w:t>
      </w:r>
      <w:r w:rsidR="003417F5" w:rsidRPr="00845A6B">
        <w:rPr>
          <w:rFonts w:ascii="Arial" w:hAnsi="Arial" w:cs="Arial"/>
          <w:color w:val="244061" w:themeColor="accent1" w:themeShade="80"/>
          <w:sz w:val="20"/>
          <w:szCs w:val="20"/>
        </w:rPr>
        <w:t>-</w:t>
      </w:r>
      <w:r w:rsidR="003F12ED" w:rsidRPr="00845A6B">
        <w:rPr>
          <w:rFonts w:ascii="Arial" w:hAnsi="Arial" w:cs="Arial"/>
          <w:color w:val="244061" w:themeColor="accent1" w:themeShade="80"/>
          <w:sz w:val="20"/>
          <w:szCs w:val="20"/>
        </w:rPr>
        <w:t>srijemske županije</w:t>
      </w:r>
      <w:r w:rsidR="00E2050D" w:rsidRPr="00845A6B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3F12ED" w:rsidRPr="00845A6B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E2050D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4F0B60" w:rsidRPr="00845A6B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7042BA" w:rsidRPr="00845A6B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</w:t>
      </w:r>
      <w:r w:rsidR="001D11AA" w:rsidRPr="00845A6B">
        <w:rPr>
          <w:rFonts w:ascii="Arial" w:hAnsi="Arial" w:cs="Arial"/>
          <w:color w:val="244061" w:themeColor="accent1" w:themeShade="80"/>
          <w:sz w:val="20"/>
          <w:szCs w:val="20"/>
        </w:rPr>
        <w:t>poslovalo je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9E1B7E" w:rsidRPr="00845A6B">
        <w:rPr>
          <w:rFonts w:ascii="Arial" w:hAnsi="Arial" w:cs="Arial"/>
          <w:color w:val="244061" w:themeColor="accent1" w:themeShade="80"/>
          <w:sz w:val="20"/>
          <w:szCs w:val="20"/>
        </w:rPr>
        <w:t>4.3</w:t>
      </w:r>
      <w:r w:rsidR="0049565E" w:rsidRPr="00845A6B">
        <w:rPr>
          <w:rFonts w:ascii="Arial" w:hAnsi="Arial" w:cs="Arial"/>
          <w:color w:val="244061" w:themeColor="accent1" w:themeShade="80"/>
          <w:sz w:val="20"/>
          <w:szCs w:val="20"/>
        </w:rPr>
        <w:t>67</w:t>
      </w:r>
      <w:r w:rsidR="009E1B7E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>poduzetnik</w:t>
      </w:r>
      <w:r w:rsidR="0049565E" w:rsidRPr="00845A6B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sa </w:t>
      </w:r>
      <w:r w:rsidR="009E1B7E" w:rsidRPr="00845A6B">
        <w:rPr>
          <w:rFonts w:ascii="Arial" w:hAnsi="Arial" w:cs="Arial"/>
          <w:color w:val="244061" w:themeColor="accent1" w:themeShade="80"/>
          <w:sz w:val="20"/>
          <w:szCs w:val="20"/>
        </w:rPr>
        <w:t>31.</w:t>
      </w:r>
      <w:r w:rsidR="0049565E" w:rsidRPr="00845A6B">
        <w:rPr>
          <w:rFonts w:ascii="Arial" w:hAnsi="Arial" w:cs="Arial"/>
          <w:color w:val="244061" w:themeColor="accent1" w:themeShade="80"/>
          <w:sz w:val="20"/>
          <w:szCs w:val="20"/>
        </w:rPr>
        <w:t>213</w:t>
      </w:r>
      <w:r w:rsidR="009E1B7E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>zaposlen</w:t>
      </w:r>
      <w:r w:rsidR="00101702" w:rsidRPr="00845A6B">
        <w:rPr>
          <w:rFonts w:ascii="Arial" w:hAnsi="Arial" w:cs="Arial"/>
          <w:color w:val="244061" w:themeColor="accent1" w:themeShade="80"/>
          <w:sz w:val="20"/>
          <w:szCs w:val="20"/>
        </w:rPr>
        <w:t>ih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, što je </w:t>
      </w:r>
      <w:r w:rsidR="009E1B7E" w:rsidRPr="00845A6B">
        <w:rPr>
          <w:rFonts w:ascii="Arial" w:hAnsi="Arial" w:cs="Arial"/>
          <w:color w:val="244061" w:themeColor="accent1" w:themeShade="80"/>
          <w:sz w:val="20"/>
          <w:szCs w:val="20"/>
        </w:rPr>
        <w:t>75,</w:t>
      </w:r>
      <w:r w:rsidR="0049565E" w:rsidRPr="00845A6B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% od ukupnog broja poduzetnika u Osječko-baranjskoj županiji i </w:t>
      </w:r>
      <w:r w:rsidR="009E1B7E" w:rsidRPr="00845A6B">
        <w:rPr>
          <w:rFonts w:ascii="Arial" w:hAnsi="Arial" w:cs="Arial"/>
          <w:color w:val="244061" w:themeColor="accent1" w:themeShade="80"/>
          <w:sz w:val="20"/>
          <w:szCs w:val="20"/>
        </w:rPr>
        <w:t>73</w:t>
      </w:r>
      <w:r w:rsidR="00173251" w:rsidRPr="00845A6B">
        <w:rPr>
          <w:rFonts w:ascii="Arial" w:hAnsi="Arial" w:cs="Arial"/>
          <w:color w:val="244061" w:themeColor="accent1" w:themeShade="80"/>
          <w:sz w:val="20"/>
          <w:szCs w:val="20"/>
        </w:rPr>
        <w:t>,0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>% od ukupnog broja zaposlenih kod poduzetnika</w:t>
      </w:r>
      <w:r w:rsidR="00FF490E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B47C4" w:rsidRPr="00845A6B">
        <w:rPr>
          <w:rFonts w:ascii="Arial" w:hAnsi="Arial" w:cs="Arial"/>
          <w:color w:val="244061" w:themeColor="accent1" w:themeShade="80"/>
          <w:sz w:val="20"/>
          <w:szCs w:val="20"/>
        </w:rPr>
        <w:t>Osječko-baranjske županije</w:t>
      </w:r>
      <w:r w:rsidR="003F22EA" w:rsidRPr="00845A6B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8D0FF2" w:rsidRPr="00845A6B" w:rsidRDefault="004946AC" w:rsidP="00397448">
      <w:pPr>
        <w:spacing w:before="180" w:after="2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 w:rsidRPr="00845A6B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 w:rsidR="005749A0" w:rsidRPr="00845A6B">
        <w:rPr>
          <w:rFonts w:ascii="Arial" w:eastAsia="Calibri" w:hAnsi="Arial" w:cs="Arial"/>
          <w:b/>
          <w:color w:val="17365D"/>
          <w:sz w:val="18"/>
          <w:szCs w:val="18"/>
        </w:rPr>
        <w:t>2</w:t>
      </w:r>
      <w:r w:rsidRPr="00845A6B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845A6B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="003C7B43" w:rsidRPr="00845A6B">
        <w:rPr>
          <w:rFonts w:ascii="Arial" w:eastAsia="Calibri" w:hAnsi="Arial" w:cs="Arial"/>
          <w:b/>
          <w:color w:val="17365D"/>
          <w:sz w:val="18"/>
          <w:szCs w:val="18"/>
        </w:rPr>
        <w:t>Broj poduzetnika i zaposlenih te o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snovni financijski </w:t>
      </w:r>
      <w:r w:rsidR="003C7B43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rezultati 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poduzetnika na području Urbane aglomeracije </w:t>
      </w:r>
      <w:r w:rsidR="005749A0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Osijek</w:t>
      </w:r>
      <w:r w:rsidR="0067724C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8D0FF2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(</w:t>
      </w:r>
      <w:r w:rsidR="008D0FF2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  <w:u w:val="single"/>
        </w:rPr>
        <w:t>bez općine Tordinci</w:t>
      </w:r>
      <w:r w:rsidR="008D0FF2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)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poduzetnika </w:t>
      </w:r>
      <w:r w:rsidR="005749A0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Osječko-baranjske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županije u </w:t>
      </w:r>
      <w:r w:rsidR="0053222C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2019.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godini</w:t>
      </w:r>
      <w:r w:rsidRPr="00845A6B">
        <w:rPr>
          <w:rFonts w:ascii="Arial" w:eastAsia="Calibri" w:hAnsi="Arial" w:cs="Arial"/>
          <w:color w:val="244061" w:themeColor="accent1" w:themeShade="80"/>
          <w:sz w:val="18"/>
          <w:szCs w:val="18"/>
        </w:rPr>
        <w:t xml:space="preserve"> </w:t>
      </w:r>
    </w:p>
    <w:p w:rsidR="004946AC" w:rsidRPr="009016C0" w:rsidRDefault="004946AC" w:rsidP="003C7B43">
      <w:pPr>
        <w:spacing w:after="20" w:line="240" w:lineRule="auto"/>
        <w:ind w:left="1134" w:hanging="1134"/>
        <w:jc w:val="right"/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</w:pPr>
      <w:r w:rsidRPr="00845A6B">
        <w:rPr>
          <w:rFonts w:ascii="Arial" w:eastAsia="Calibri" w:hAnsi="Arial" w:cs="Arial"/>
          <w:color w:val="17365D"/>
          <w:sz w:val="18"/>
          <w:szCs w:val="18"/>
        </w:rPr>
        <w:tab/>
      </w:r>
      <w:r w:rsidRPr="009016C0"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  <w:t>(iznosi u tisućama kuna, prosječne plaće u kn)</w:t>
      </w:r>
    </w:p>
    <w:tbl>
      <w:tblPr>
        <w:tblW w:w="9752" w:type="dxa"/>
        <w:jc w:val="center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1077"/>
        <w:gridCol w:w="1077"/>
        <w:gridCol w:w="624"/>
        <w:gridCol w:w="1134"/>
        <w:gridCol w:w="1134"/>
        <w:gridCol w:w="624"/>
      </w:tblGrid>
      <w:tr w:rsidR="00B205FA" w:rsidRPr="00F67D8E" w:rsidTr="00CD2323">
        <w:trPr>
          <w:trHeight w:val="283"/>
          <w:tblHeader/>
          <w:jc w:val="center"/>
        </w:trPr>
        <w:tc>
          <w:tcPr>
            <w:tcW w:w="4082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4946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77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E2050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652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Urbana aglomeracija </w:t>
            </w:r>
            <w:r w:rsidR="005749A0" w:rsidRPr="003652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289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5749A0" w:rsidP="004946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Osječko-baranjska</w:t>
            </w:r>
            <w:r w:rsid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županija</w:t>
            </w:r>
          </w:p>
        </w:tc>
      </w:tr>
      <w:tr w:rsidR="00B205FA" w:rsidRPr="00F67D8E" w:rsidTr="003C7B43">
        <w:trPr>
          <w:trHeight w:val="283"/>
          <w:tblHeader/>
          <w:jc w:val="center"/>
        </w:trPr>
        <w:tc>
          <w:tcPr>
            <w:tcW w:w="4082" w:type="dxa"/>
            <w:vMerge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4946AC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6C58D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6C58D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53222C" w:rsidP="003625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2019.</w:t>
            </w:r>
            <w:r w:rsidR="004946AC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4946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6C58D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6C58D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53222C" w:rsidP="003625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2019.</w:t>
            </w:r>
            <w:r w:rsidR="004946AC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903174" w:rsidRDefault="004946AC" w:rsidP="004946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031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Indeks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DDEF3"/>
            <w:noWrap/>
            <w:vAlign w:val="center"/>
            <w:hideMark/>
          </w:tcPr>
          <w:p w:rsidR="00FD66D3" w:rsidRPr="00524A0E" w:rsidRDefault="00FD66D3" w:rsidP="00D6522B">
            <w:pPr>
              <w:spacing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524A0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D66D3" w:rsidRPr="004F7B3C" w:rsidRDefault="00722DDF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4.367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D66D3" w:rsidRPr="00826EEE" w:rsidRDefault="00722DDF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D66D3" w:rsidRPr="001A2CD8" w:rsidRDefault="00722DDF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D66D3" w:rsidRPr="00524A0E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5.787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D66D3" w:rsidRPr="001A2CD8" w:rsidRDefault="00722DDF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DDEF3"/>
            <w:noWrap/>
            <w:vAlign w:val="center"/>
          </w:tcPr>
          <w:p w:rsidR="00FD66D3" w:rsidRPr="00524A0E" w:rsidRDefault="00FD66D3" w:rsidP="003A63CB">
            <w:pPr>
              <w:spacing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524A0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D66D3" w:rsidRPr="008656FA" w:rsidRDefault="00722DDF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2.901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D66D3" w:rsidRPr="00826EEE" w:rsidRDefault="00722DDF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D66D3" w:rsidRPr="001A2CD8" w:rsidRDefault="00722DDF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3.928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D66D3" w:rsidRPr="001A2CD8" w:rsidRDefault="00722DDF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DDEF3"/>
            <w:noWrap/>
            <w:vAlign w:val="center"/>
          </w:tcPr>
          <w:p w:rsidR="00FD66D3" w:rsidRPr="00524A0E" w:rsidRDefault="00FD66D3" w:rsidP="003A63CB">
            <w:pPr>
              <w:spacing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524A0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D66D3" w:rsidRPr="008656FA" w:rsidRDefault="00722DDF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1.466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D66D3" w:rsidRPr="00826EEE" w:rsidRDefault="00722DDF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D66D3" w:rsidRPr="001A2CD8" w:rsidRDefault="00722DDF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1.859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D66D3" w:rsidRPr="001A2CD8" w:rsidRDefault="00722DDF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DDEF3"/>
            <w:noWrap/>
            <w:vAlign w:val="center"/>
            <w:hideMark/>
          </w:tcPr>
          <w:p w:rsidR="00FD66D3" w:rsidRPr="00524A0E" w:rsidRDefault="00FD66D3" w:rsidP="003A63CB">
            <w:pPr>
              <w:spacing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524A0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28.543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31.213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109,4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39.524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42.786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108,3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FD66D3" w:rsidRPr="004F7B3C" w:rsidRDefault="00FD66D3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19.565.705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21.460.960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26.343.011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28.143.650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106,8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FD66D3" w:rsidRPr="004F7B3C" w:rsidRDefault="00FD66D3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18.784.576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20.954.154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111,5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24.894.042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27.358.060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109,9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FD66D3" w:rsidRPr="004F7B3C" w:rsidRDefault="00FD66D3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1.414.209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1.130.492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2.203.195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1.586.426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72</w:t>
            </w:r>
            <w:r w:rsidR="00722DD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,0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FD66D3" w:rsidRPr="004F7B3C" w:rsidRDefault="00FD66D3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633.080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623.686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754.227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800.835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106,2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4F7B3C" w:rsidRDefault="00FD66D3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146.663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187.840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128,1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202.051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258.034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127,7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FD66D3" w:rsidRPr="004F7B3C" w:rsidRDefault="00FD66D3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1.272.667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946.623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2.006.327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1.332.683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66,4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FD66D3" w:rsidRPr="004F7B3C" w:rsidRDefault="00FD66D3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638.201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627.656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759.409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805.126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6C58DD" w:rsidRDefault="00FD66D3" w:rsidP="006C58D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58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106</w:t>
            </w:r>
          </w:p>
        </w:tc>
      </w:tr>
      <w:tr w:rsidR="00FD66D3" w:rsidRPr="00F67D8E" w:rsidTr="00FD66D3">
        <w:trPr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FD66D3" w:rsidRPr="000E7FBB" w:rsidRDefault="00FD66D3" w:rsidP="004946AC">
            <w:pPr>
              <w:spacing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0E7FB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634.466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318.967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1A504D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A504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1.246.918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1A504D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A504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527.557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1A504D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A504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42,3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FD66D3" w:rsidRPr="004F7B3C" w:rsidRDefault="00FD66D3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4.561.908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4.490.297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1A504D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504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5.602.253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1A504D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504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5.555.675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1A504D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504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99,2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FD66D3" w:rsidRPr="004F7B3C" w:rsidRDefault="00FD66D3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2.703.983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2.988.032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1A504D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504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3.336.235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1A504D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504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3.648.674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1A504D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504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109,4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FD66D3" w:rsidRPr="004F7B3C" w:rsidRDefault="00FD66D3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542.205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492.893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FD66D3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D66D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1A504D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504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964.605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1A504D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504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852.136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1A504D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504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88,3</w:t>
            </w:r>
          </w:p>
        </w:tc>
      </w:tr>
      <w:tr w:rsidR="00FD66D3" w:rsidRPr="00F67D8E" w:rsidTr="00FD66D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FD66D3" w:rsidRPr="0049565E" w:rsidRDefault="00FD66D3" w:rsidP="00DD20EB">
            <w:pPr>
              <w:spacing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9565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Prosj</w:t>
            </w:r>
            <w:r w:rsidR="00DD20E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9565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 mjesečna neto plaća po zaposlenom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49565E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9565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4.761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49565E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9565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4.855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49565E" w:rsidRDefault="00FD66D3" w:rsidP="00FD66D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9565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49565E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9565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4.674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49565E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9565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4.817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FD66D3" w:rsidRPr="0049565E" w:rsidRDefault="00FD66D3" w:rsidP="001A50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9565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103,1</w:t>
            </w:r>
          </w:p>
        </w:tc>
      </w:tr>
    </w:tbl>
    <w:p w:rsidR="004946AC" w:rsidRPr="004946AC" w:rsidRDefault="004946AC" w:rsidP="002344B1">
      <w:pPr>
        <w:spacing w:before="60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izvještaja, obrada GFI-a za </w:t>
      </w:r>
      <w:r w:rsidR="0053222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2019.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godinu</w:t>
      </w:r>
    </w:p>
    <w:p w:rsidR="00765899" w:rsidRPr="00845A6B" w:rsidRDefault="00791C43" w:rsidP="001819DF">
      <w:pPr>
        <w:widowControl w:val="0"/>
        <w:spacing w:before="180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7042BA" w:rsidRPr="00845A6B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>. godini</w:t>
      </w:r>
      <w:r w:rsidR="00173251" w:rsidRPr="00845A6B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poduzetnici čije je sjedište u jednom od gradova i općina Urbane aglomeracije Osijek </w:t>
      </w:r>
      <w:r w:rsidR="00B73FE8" w:rsidRPr="00845A6B">
        <w:rPr>
          <w:rFonts w:ascii="Arial" w:hAnsi="Arial" w:cs="Arial"/>
          <w:color w:val="244061" w:themeColor="accent1" w:themeShade="80"/>
          <w:sz w:val="20"/>
          <w:szCs w:val="20"/>
        </w:rPr>
        <w:t>(bez općine Tordinci)</w:t>
      </w:r>
      <w:r w:rsidR="003A63CB" w:rsidRPr="00845A6B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B73FE8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ostvarili su ukupan prihod u iznosu od </w:t>
      </w:r>
      <w:r w:rsidR="005B5F8A" w:rsidRPr="00845A6B">
        <w:rPr>
          <w:rFonts w:ascii="Arial" w:hAnsi="Arial" w:cs="Arial"/>
          <w:color w:val="244061" w:themeColor="accent1" w:themeShade="80"/>
          <w:sz w:val="20"/>
          <w:szCs w:val="20"/>
        </w:rPr>
        <w:t>21,</w:t>
      </w:r>
      <w:r w:rsidR="00733BCB" w:rsidRPr="00845A6B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B360B1" w:rsidRPr="00845A6B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kuna.</w:t>
      </w:r>
      <w:r w:rsidR="00C8090C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25CD1" w:rsidRPr="00845A6B">
        <w:rPr>
          <w:rFonts w:ascii="Arial" w:hAnsi="Arial" w:cs="Arial"/>
          <w:color w:val="244061" w:themeColor="accent1" w:themeShade="80"/>
          <w:sz w:val="20"/>
          <w:szCs w:val="20"/>
        </w:rPr>
        <w:t>Njihov udio u ukupnim prihodima poduzetnika Osječko-baranjske županije</w:t>
      </w:r>
      <w:r w:rsidR="00057EE3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je</w:t>
      </w:r>
      <w:r w:rsidR="00F25CD1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B5F8A" w:rsidRPr="00845A6B">
        <w:rPr>
          <w:rFonts w:ascii="Arial" w:hAnsi="Arial" w:cs="Arial"/>
          <w:color w:val="244061" w:themeColor="accent1" w:themeShade="80"/>
          <w:sz w:val="20"/>
          <w:szCs w:val="20"/>
        </w:rPr>
        <w:t>76,</w:t>
      </w:r>
      <w:r w:rsidR="00733BCB" w:rsidRPr="00845A6B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CA41A4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%, </w:t>
      </w:r>
      <w:r w:rsidR="00FC48D9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CA41A4"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udio u neto dobiti </w:t>
      </w:r>
      <w:r w:rsidR="00733BCB" w:rsidRPr="00845A6B">
        <w:rPr>
          <w:rFonts w:ascii="Arial" w:hAnsi="Arial" w:cs="Arial"/>
          <w:color w:val="244061" w:themeColor="accent1" w:themeShade="80"/>
          <w:sz w:val="20"/>
          <w:szCs w:val="20"/>
        </w:rPr>
        <w:t>60,5</w:t>
      </w:r>
      <w:r w:rsidR="00FC48D9" w:rsidRPr="00845A6B">
        <w:rPr>
          <w:rFonts w:ascii="Arial" w:hAnsi="Arial" w:cs="Arial"/>
          <w:color w:val="244061" w:themeColor="accent1" w:themeShade="80"/>
          <w:sz w:val="20"/>
          <w:szCs w:val="20"/>
        </w:rPr>
        <w:t>%.</w:t>
      </w:r>
    </w:p>
    <w:p w:rsidR="003F12ED" w:rsidRPr="00845A6B" w:rsidRDefault="003F12ED" w:rsidP="001819DF">
      <w:pPr>
        <w:widowControl w:val="0"/>
        <w:spacing w:before="180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Za usporedbu, u tablici 3. </w:t>
      </w:r>
      <w:r w:rsidR="006F5893" w:rsidRPr="00845A6B"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>rezentirani su osnovni rezultati i brojčano stanje poduzetnika i zaposlenih kod poduzetnika u Osječko-baranjskoj županiji, Urbanoj aglomeraciji Osijek (bez poduzetnika općine Tordinci) i Osijek</w:t>
      </w:r>
      <w:r w:rsidR="00057EE3" w:rsidRPr="00845A6B">
        <w:rPr>
          <w:rFonts w:ascii="Arial" w:hAnsi="Arial" w:cs="Arial"/>
          <w:color w:val="244061" w:themeColor="accent1" w:themeShade="80"/>
          <w:sz w:val="20"/>
          <w:szCs w:val="20"/>
        </w:rPr>
        <w:t>u,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 xml:space="preserve"> u 201</w:t>
      </w:r>
      <w:r w:rsidR="007042BA" w:rsidRPr="00845A6B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>. godini.</w:t>
      </w:r>
    </w:p>
    <w:p w:rsidR="00092794" w:rsidRPr="008656FA" w:rsidRDefault="00092794" w:rsidP="003A63CB">
      <w:pPr>
        <w:widowControl w:val="0"/>
        <w:tabs>
          <w:tab w:val="left" w:pos="1134"/>
        </w:tabs>
        <w:spacing w:before="180" w:after="40" w:line="240" w:lineRule="auto"/>
        <w:ind w:left="1134" w:hanging="1134"/>
        <w:rPr>
          <w:rFonts w:ascii="Arial" w:eastAsia="Times New Roman" w:hAnsi="Arial"/>
          <w:bCs/>
          <w:color w:val="244061"/>
          <w:sz w:val="18"/>
          <w:szCs w:val="18"/>
          <w:lang w:eastAsia="hr-HR"/>
        </w:rPr>
      </w:pPr>
      <w:r w:rsidRPr="00845A6B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>Tablica 3.</w:t>
      </w:r>
      <w:r w:rsidRPr="00845A6B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ab/>
        <w:t>Usporedba o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snovnih financijskih podataka poslovanja poduzetnika na području Osječko-baranjske županije, Urbane aglomeracije Osijek (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  <w:u w:val="single"/>
        </w:rPr>
        <w:t>bez općine Tordinci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) i Osijeka u </w:t>
      </w:r>
      <w:r w:rsidR="0053222C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2019.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226B84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godini</w:t>
      </w:r>
    </w:p>
    <w:tbl>
      <w:tblPr>
        <w:tblW w:w="980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850"/>
        <w:gridCol w:w="794"/>
        <w:gridCol w:w="1191"/>
        <w:gridCol w:w="1191"/>
        <w:gridCol w:w="1191"/>
        <w:gridCol w:w="1077"/>
        <w:gridCol w:w="1077"/>
        <w:gridCol w:w="1020"/>
      </w:tblGrid>
      <w:tr w:rsidR="003C7B43" w:rsidRPr="003C7B43" w:rsidTr="003C7B43">
        <w:trPr>
          <w:trHeight w:val="567"/>
          <w:tblHeader/>
          <w:jc w:val="center"/>
        </w:trPr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F02407" w:rsidRDefault="00092794" w:rsidP="00F001B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bookmarkStart w:id="1" w:name="OLE_LINK1"/>
            <w:r w:rsidRP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 teritorijalne razine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787F53" w:rsidRDefault="00092794" w:rsidP="00787F5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poduzet</w:t>
            </w:r>
            <w:r w:rsid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092794" w:rsidRPr="00787F53" w:rsidRDefault="00092794" w:rsidP="00787F5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</w:t>
            </w:r>
            <w:r w:rsid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092794" w:rsidRPr="009E151E" w:rsidRDefault="00092794" w:rsidP="00787F5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Prosječna mjeseč</w:t>
            </w:r>
            <w:r w:rsid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neto plaća</w:t>
            </w:r>
            <w:r w:rsidRPr="00787F53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kn)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787F53" w:rsidRDefault="00092794" w:rsidP="00F001B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  <w:r w:rsid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</w:t>
            </w:r>
          </w:p>
          <w:p w:rsidR="00092794" w:rsidRPr="009E151E" w:rsidRDefault="00092794" w:rsidP="00F0240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A6B7B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4A6B7B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092794" w:rsidRPr="00787F53" w:rsidRDefault="00F02407" w:rsidP="00F001B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rashodi</w:t>
            </w:r>
          </w:p>
          <w:p w:rsidR="00092794" w:rsidRPr="009E151E" w:rsidRDefault="00092794" w:rsidP="00F0240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F02407" w:rsidRDefault="00092794" w:rsidP="00F001B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  <w:p w:rsidR="00092794" w:rsidRPr="009E151E" w:rsidRDefault="00092794" w:rsidP="00F0240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F02407" w:rsidRDefault="00092794" w:rsidP="00F001B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Gubitak razdoblja </w:t>
            </w:r>
          </w:p>
          <w:p w:rsidR="00092794" w:rsidRPr="009E151E" w:rsidRDefault="00092794" w:rsidP="00F0240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F02407" w:rsidRDefault="00092794" w:rsidP="00F0240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Neto dobit</w:t>
            </w:r>
          </w:p>
          <w:p w:rsidR="00092794" w:rsidRPr="009E151E" w:rsidRDefault="00092794" w:rsidP="00F0240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</w:tr>
      <w:tr w:rsidR="006E412B" w:rsidRPr="003C7B43" w:rsidTr="006E412B">
        <w:trPr>
          <w:trHeight w:val="283"/>
          <w:jc w:val="center"/>
        </w:trPr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noWrap/>
            <w:vAlign w:val="center"/>
          </w:tcPr>
          <w:p w:rsidR="006E412B" w:rsidRPr="003A63CB" w:rsidRDefault="006E412B" w:rsidP="0036250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OBŽ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noWrap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5.787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42.786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4.817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noWrap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28.143.650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27.358.060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noWrap/>
            <w:vAlign w:val="center"/>
          </w:tcPr>
          <w:p w:rsidR="006E412B" w:rsidRPr="006E412B" w:rsidRDefault="00FF3A3F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FF3A3F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1.332.683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noWrap/>
            <w:vAlign w:val="center"/>
          </w:tcPr>
          <w:p w:rsidR="006E412B" w:rsidRPr="006E412B" w:rsidRDefault="00371D94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371D9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805.126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000000" w:fill="C0C0C0"/>
            <w:noWrap/>
            <w:vAlign w:val="center"/>
          </w:tcPr>
          <w:p w:rsidR="006E412B" w:rsidRPr="006E412B" w:rsidRDefault="00371D94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371D9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527.557</w:t>
            </w:r>
          </w:p>
        </w:tc>
      </w:tr>
      <w:tr w:rsidR="006E412B" w:rsidRPr="003C7B43" w:rsidTr="006E412B">
        <w:trPr>
          <w:trHeight w:val="283"/>
          <w:jc w:val="center"/>
        </w:trPr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6E412B" w:rsidRPr="003A63CB" w:rsidRDefault="006E412B" w:rsidP="00F001B3">
            <w:pPr>
              <w:spacing w:line="240" w:lineRule="auto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A63C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UAO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6E412B" w:rsidRPr="006E412B" w:rsidRDefault="009E1B7E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4.</w:t>
            </w:r>
            <w:r w:rsidR="00D04DB8"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367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31.213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4.855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21.460.960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20.954.154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946.623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6E412B" w:rsidRPr="006E412B" w:rsidRDefault="00371D94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371D9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627.656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B8CCE4" w:themeFill="accent1" w:themeFillTint="66"/>
            <w:noWrap/>
            <w:vAlign w:val="center"/>
          </w:tcPr>
          <w:p w:rsidR="006E412B" w:rsidRPr="006E412B" w:rsidRDefault="00371D94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371D9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318.967</w:t>
            </w:r>
          </w:p>
        </w:tc>
      </w:tr>
      <w:tr w:rsidR="006E412B" w:rsidRPr="003C7B43" w:rsidTr="006E412B">
        <w:trPr>
          <w:trHeight w:val="283"/>
          <w:jc w:val="center"/>
        </w:trPr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E412B" w:rsidRPr="003A63CB" w:rsidRDefault="006E412B" w:rsidP="00F001B3">
            <w:pPr>
              <w:spacing w:line="240" w:lineRule="auto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A63C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Grad Osijek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3.249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22.572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4.891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15.254.405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E412B" w:rsidRPr="006E412B" w:rsidRDefault="00D04DB8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04DB8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14.957.453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E412B" w:rsidRPr="006E412B" w:rsidRDefault="00FF3A3F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FF3A3F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675.270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E412B" w:rsidRPr="006E412B" w:rsidRDefault="00FF3A3F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FF3A3F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493.367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BE5F1" w:themeFill="accent1" w:themeFillTint="33"/>
            <w:noWrap/>
            <w:vAlign w:val="center"/>
          </w:tcPr>
          <w:p w:rsidR="006E412B" w:rsidRPr="006E412B" w:rsidRDefault="00371D94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371D9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181.903</w:t>
            </w:r>
          </w:p>
        </w:tc>
      </w:tr>
    </w:tbl>
    <w:bookmarkEnd w:id="1"/>
    <w:p w:rsidR="00092794" w:rsidRDefault="00092794" w:rsidP="00092794">
      <w:pPr>
        <w:widowControl w:val="0"/>
        <w:spacing w:before="40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,</w:t>
      </w:r>
      <w:r w:rsidRPr="00E90C9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obrada GFI-a za </w:t>
      </w:r>
      <w:r w:rsidR="0053222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2019.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godinu</w:t>
      </w:r>
    </w:p>
    <w:p w:rsidR="0076480E" w:rsidRPr="00845A6B" w:rsidRDefault="0076480E" w:rsidP="003A63CB">
      <w:pPr>
        <w:widowControl w:val="0"/>
        <w:spacing w:before="180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Iz prezentiranih podataka </w:t>
      </w:r>
      <w:r w:rsidR="00173251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vidljivo je</w:t>
      </w:r>
      <w:r w:rsidR="00F02407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da 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poduzetni</w:t>
      </w:r>
      <w:r w:rsidR="00F02407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ci sa sjedištem u 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Osijek</w:t>
      </w:r>
      <w:r w:rsidR="00F02407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 imaju veliki udio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rezultatima </w:t>
      </w:r>
      <w:r w:rsidR="00F02407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poduzetnika 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na razini županije i Urbane aglomeracije Osijek. </w:t>
      </w:r>
      <w:r w:rsidR="00F02407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Njihov udio 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broju poduzetnika Urbane aglomeracije Osijek </w:t>
      </w:r>
      <w:r w:rsidR="00B60754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je </w:t>
      </w:r>
      <w:r w:rsidR="00371D94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74,4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%, </w:t>
      </w:r>
      <w:r w:rsidR="00057EE3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broj</w:t>
      </w:r>
      <w:r w:rsidR="00057EE3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zaposlenih </w:t>
      </w:r>
      <w:r w:rsidR="006E412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72,</w:t>
      </w:r>
      <w:r w:rsidR="00371D94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%, ukupni</w:t>
      </w:r>
      <w:r w:rsidR="00057EE3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m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prihod</w:t>
      </w:r>
      <w:r w:rsidR="00057EE3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im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</w:t>
      </w:r>
      <w:r w:rsidR="00371D94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71,1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%, ukupni</w:t>
      </w:r>
      <w:r w:rsidR="00057EE3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m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rashod</w:t>
      </w:r>
      <w:r w:rsidR="00057EE3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im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</w:t>
      </w:r>
      <w:r w:rsidR="00371D94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71,4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%, dobiti razdoblja </w:t>
      </w:r>
      <w:r w:rsidR="00371D94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71,3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%, gubitk</w:t>
      </w:r>
      <w:r w:rsidR="00057EE3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razdoblja </w:t>
      </w:r>
      <w:r w:rsidR="00371D94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78,6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%, uvoz</w:t>
      </w:r>
      <w:r w:rsidR="00057EE3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371D94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64,6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</w:t>
      </w:r>
      <w:r w:rsidR="006E412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 i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zvoz</w:t>
      </w:r>
      <w:r w:rsidR="00057EE3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371D94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59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</w:t>
      </w:r>
      <w:r w:rsidR="006E412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i investicijama u novu dugotrajnu imovinu </w:t>
      </w:r>
      <w:r w:rsidR="00371D94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</w:t>
      </w:r>
      <w:r w:rsidR="006E412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8,1%</w:t>
      </w:r>
      <w:r w:rsidR="00057EE3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9D6668" w:rsidRPr="00A67E6B" w:rsidRDefault="009D6668" w:rsidP="00057EE3">
      <w:pPr>
        <w:pageBreakBefore/>
        <w:widowControl w:val="0"/>
        <w:tabs>
          <w:tab w:val="left" w:pos="1134"/>
        </w:tabs>
        <w:spacing w:after="40" w:line="240" w:lineRule="auto"/>
        <w:ind w:left="1134" w:hanging="1134"/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</w:pPr>
      <w:r w:rsidRPr="00845A6B">
        <w:rPr>
          <w:rFonts w:ascii="Arial" w:eastAsia="Calibri" w:hAnsi="Arial" w:cs="Arial"/>
          <w:b/>
          <w:color w:val="17365D"/>
          <w:sz w:val="18"/>
          <w:szCs w:val="18"/>
        </w:rPr>
        <w:lastRenderedPageBreak/>
        <w:t>Grafikon 1.</w:t>
      </w:r>
      <w:r w:rsidRPr="00845A6B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  <w:u w:val="single"/>
        </w:rPr>
        <w:t>Udio ukupnog prihoda i neto dobiti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poduzetnika Urbane aglomeracije Osijek</w:t>
      </w:r>
      <w:r w:rsidR="00666C06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(bez općine Tordinci)</w:t>
      </w:r>
      <w:r w:rsidR="00EF015B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u ukupnom prihodu i neto dobiti poduzetnika Osječko-baranjske županije u </w:t>
      </w:r>
      <w:r w:rsidR="0053222C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2019.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8F1597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</w:t>
      </w:r>
      <w:r w:rsidR="00226B84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odini</w:t>
      </w:r>
    </w:p>
    <w:p w:rsidR="00EF015B" w:rsidRDefault="00DB0F39" w:rsidP="00AF7FED">
      <w:pPr>
        <w:spacing w:after="60"/>
        <w:ind w:left="1134" w:hanging="1134"/>
        <w:jc w:val="center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>
        <w:rPr>
          <w:rFonts w:ascii="Arial" w:eastAsia="Calibri" w:hAnsi="Arial" w:cs="Arial"/>
          <w:noProof/>
          <w:color w:val="244061" w:themeColor="accent1" w:themeShade="80"/>
          <w:sz w:val="18"/>
          <w:szCs w:val="18"/>
          <w:lang w:val="en-US"/>
        </w:rPr>
        <w:drawing>
          <wp:inline distT="0" distB="0" distL="0" distR="0" wp14:anchorId="6D971E03" wp14:editId="59674ECD">
            <wp:extent cx="6122823" cy="17593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373" cy="1761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0C98" w:rsidRPr="004946AC" w:rsidRDefault="008508A9" w:rsidP="003A63CB">
      <w:pPr>
        <w:spacing w:before="40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</w:t>
      </w:r>
      <w:r w:rsidR="00E90C9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, </w:t>
      </w:r>
      <w:r w:rsidR="00E90C98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obrada GFI-a za </w:t>
      </w:r>
      <w:r w:rsidR="0053222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2019.</w:t>
      </w:r>
      <w:r w:rsidR="00E90C98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godinu</w:t>
      </w:r>
    </w:p>
    <w:p w:rsidR="008508A9" w:rsidRPr="00845A6B" w:rsidRDefault="008508A9" w:rsidP="002E5A0D">
      <w:pPr>
        <w:widowControl w:val="0"/>
        <w:spacing w:before="240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845A6B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 xml:space="preserve">TOP </w:t>
      </w:r>
      <w:r w:rsidR="007534A2" w:rsidRPr="00845A6B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5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poduzetnika </w:t>
      </w:r>
      <w:r w:rsidR="007534A2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Urbane aglomeracije Osijek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201</w:t>
      </w:r>
      <w:r w:rsidR="007042BA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9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 godini ostvaril</w:t>
      </w:r>
      <w:r w:rsidR="00E90C98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E90C98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je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dobit razdoblja u iznosu od </w:t>
      </w:r>
      <w:r w:rsidR="00C9249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316,6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milijuna kuna ili </w:t>
      </w:r>
      <w:r w:rsidR="00C9249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33,3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 ukupne dobiti razdob</w:t>
      </w:r>
      <w:r w:rsidR="00C414E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lja </w:t>
      </w:r>
      <w:r w:rsidR="00057EE3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poduzetnika</w:t>
      </w:r>
      <w:r w:rsidR="001A2CD8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7534A2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Urbane aglomeracije Osijek</w:t>
      </w:r>
      <w:r w:rsidR="00C414E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8508A9" w:rsidRPr="009016C0" w:rsidRDefault="008508A9" w:rsidP="002E5A0D">
      <w:pPr>
        <w:tabs>
          <w:tab w:val="left" w:pos="7797"/>
        </w:tabs>
        <w:spacing w:before="240" w:after="40" w:line="240" w:lineRule="auto"/>
        <w:ind w:left="1134" w:hanging="1134"/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</w:pPr>
      <w:r w:rsidRPr="00845A6B">
        <w:rPr>
          <w:rFonts w:ascii="Arial" w:eastAsia="Calibri" w:hAnsi="Arial" w:cs="Arial"/>
          <w:b/>
          <w:color w:val="17365D"/>
          <w:sz w:val="18"/>
          <w:szCs w:val="18"/>
        </w:rPr>
        <w:t>Tablica 4.</w:t>
      </w:r>
      <w:r w:rsidRPr="00845A6B">
        <w:rPr>
          <w:rFonts w:ascii="Arial" w:eastAsia="Calibri" w:hAnsi="Arial" w:cs="Arial"/>
          <w:b/>
          <w:color w:val="17365D"/>
          <w:sz w:val="18"/>
          <w:szCs w:val="18"/>
        </w:rPr>
        <w:tab/>
        <w:t>TOP</w:t>
      </w:r>
      <w:r w:rsidR="00F67D8E" w:rsidRPr="00845A6B">
        <w:rPr>
          <w:rFonts w:ascii="Arial" w:eastAsia="Calibri" w:hAnsi="Arial" w:cs="Arial"/>
          <w:b/>
          <w:color w:val="17365D"/>
          <w:sz w:val="18"/>
          <w:szCs w:val="18"/>
        </w:rPr>
        <w:t xml:space="preserve"> </w:t>
      </w:r>
      <w:r w:rsidR="00DF24EC" w:rsidRPr="00845A6B">
        <w:rPr>
          <w:rFonts w:ascii="Arial" w:eastAsia="Calibri" w:hAnsi="Arial" w:cs="Arial"/>
          <w:b/>
          <w:color w:val="17365D"/>
          <w:sz w:val="18"/>
          <w:szCs w:val="18"/>
        </w:rPr>
        <w:t>5</w:t>
      </w:r>
      <w:r w:rsidRPr="00845A6B">
        <w:rPr>
          <w:rFonts w:ascii="Arial" w:eastAsia="Calibri" w:hAnsi="Arial" w:cs="Arial"/>
          <w:b/>
          <w:color w:val="17365D"/>
          <w:sz w:val="18"/>
          <w:szCs w:val="18"/>
        </w:rPr>
        <w:t xml:space="preserve"> 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poduzetnika 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  <w:u w:val="single"/>
        </w:rPr>
        <w:t xml:space="preserve">prema dobiti </w:t>
      </w:r>
      <w:r w:rsidR="002A6644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  <w:u w:val="single"/>
        </w:rPr>
        <w:t>razdoblja</w:t>
      </w:r>
      <w:r w:rsidR="002A6644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na razini </w:t>
      </w:r>
      <w:r w:rsidR="00DF24EC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Urbane aglomeracije Osijek</w:t>
      </w:r>
      <w:r w:rsidR="004F0B60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</w:t>
      </w:r>
      <w:r w:rsidR="0053222C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2019.</w:t>
      </w:r>
      <w:r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AF7FED" w:rsidRPr="00845A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g.</w:t>
      </w:r>
      <w:r w:rsidRPr="00845A6B">
        <w:rPr>
          <w:rFonts w:ascii="Arial" w:eastAsia="Calibri" w:hAnsi="Arial" w:cs="Arial"/>
          <w:color w:val="244061" w:themeColor="accent1" w:themeShade="80"/>
          <w:sz w:val="18"/>
          <w:szCs w:val="18"/>
        </w:rPr>
        <w:t xml:space="preserve"> </w:t>
      </w:r>
      <w:r w:rsidRPr="00845A6B">
        <w:rPr>
          <w:rFonts w:ascii="Arial" w:eastAsia="Calibri" w:hAnsi="Arial" w:cs="Arial"/>
          <w:color w:val="17365D"/>
          <w:sz w:val="18"/>
          <w:szCs w:val="18"/>
        </w:rPr>
        <w:tab/>
      </w:r>
      <w:r w:rsidR="00397448" w:rsidRPr="009016C0">
        <w:rPr>
          <w:rFonts w:ascii="Arial" w:eastAsia="Calibri" w:hAnsi="Arial" w:cs="Arial"/>
          <w:i/>
          <w:color w:val="17365D"/>
          <w:sz w:val="18"/>
          <w:szCs w:val="18"/>
        </w:rPr>
        <w:t xml:space="preserve">  </w:t>
      </w:r>
      <w:r w:rsidRPr="009016C0"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  <w:t>(iznosi u tisućama kuna)</w:t>
      </w: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58"/>
        <w:gridCol w:w="1318"/>
        <w:gridCol w:w="4011"/>
        <w:gridCol w:w="46"/>
        <w:gridCol w:w="751"/>
        <w:gridCol w:w="1043"/>
        <w:gridCol w:w="1117"/>
        <w:gridCol w:w="919"/>
      </w:tblGrid>
      <w:tr w:rsidR="00777040" w:rsidRPr="0076480E" w:rsidTr="00777040">
        <w:trPr>
          <w:trHeight w:val="3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2E5A0D" w:rsidRDefault="008508A9" w:rsidP="002E5A0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E5A0D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</w:t>
            </w:r>
            <w:r w:rsidR="00722DDF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  <w:r w:rsidRPr="002E5A0D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br.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6480E" w:rsidRDefault="008508A9" w:rsidP="0043500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22D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OIB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8508A9" w:rsidP="0043500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8508A9" w:rsidP="0043500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8508A9" w:rsidP="0043500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8508A9" w:rsidP="0043500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8508A9" w:rsidP="0043500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</w:tr>
      <w:tr w:rsidR="00777040" w:rsidRPr="002E5A0D" w:rsidTr="00777040">
        <w:trPr>
          <w:trHeight w:val="284"/>
          <w:jc w:val="center"/>
        </w:trPr>
        <w:tc>
          <w:tcPr>
            <w:tcW w:w="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B5F6D" w:rsidRPr="002E5A0D" w:rsidRDefault="009B5F6D" w:rsidP="00722DDF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777040" w:rsidP="002A6644">
            <w:pPr>
              <w:jc w:val="lef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0</w:t>
            </w:r>
            <w:r w:rsidR="009B5F6D" w:rsidRPr="009B5F6D">
              <w:rPr>
                <w:rFonts w:ascii="Arial" w:hAnsi="Arial" w:cs="Arial"/>
                <w:color w:val="244062"/>
                <w:sz w:val="18"/>
                <w:szCs w:val="18"/>
              </w:rPr>
              <w:t>3834418154</w:t>
            </w:r>
          </w:p>
        </w:tc>
        <w:tc>
          <w:tcPr>
            <w:tcW w:w="40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6A09EC">
            <w:pPr>
              <w:jc w:val="lef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9B5F6D">
              <w:rPr>
                <w:rFonts w:ascii="Arial" w:hAnsi="Arial" w:cs="Arial"/>
                <w:color w:val="244062"/>
                <w:sz w:val="18"/>
                <w:szCs w:val="18"/>
              </w:rPr>
              <w:t xml:space="preserve">ŽITO </w:t>
            </w:r>
            <w:r w:rsidR="006A09EC">
              <w:rPr>
                <w:rFonts w:ascii="Arial" w:hAnsi="Arial" w:cs="Arial"/>
                <w:color w:val="244062"/>
                <w:sz w:val="18"/>
                <w:szCs w:val="18"/>
              </w:rPr>
              <w:t>d.o.o.</w:t>
            </w:r>
          </w:p>
        </w:tc>
        <w:tc>
          <w:tcPr>
            <w:tcW w:w="7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2E5A0D" w:rsidRDefault="009B5F6D" w:rsidP="002A6644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0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5F6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587</w:t>
            </w:r>
          </w:p>
        </w:tc>
        <w:tc>
          <w:tcPr>
            <w:tcW w:w="11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5F6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1.859.688</w:t>
            </w:r>
          </w:p>
        </w:tc>
        <w:tc>
          <w:tcPr>
            <w:tcW w:w="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5F6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103.62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</w:t>
            </w:r>
          </w:p>
        </w:tc>
      </w:tr>
      <w:tr w:rsidR="00777040" w:rsidRPr="002E5A0D" w:rsidTr="00777040">
        <w:trPr>
          <w:trHeight w:val="284"/>
          <w:jc w:val="center"/>
        </w:trPr>
        <w:tc>
          <w:tcPr>
            <w:tcW w:w="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B5F6D" w:rsidRPr="002E5A0D" w:rsidRDefault="009B5F6D" w:rsidP="00722DDF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jc w:val="lef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9B5F6D">
              <w:rPr>
                <w:rFonts w:ascii="Arial" w:hAnsi="Arial" w:cs="Arial"/>
                <w:color w:val="244062"/>
                <w:sz w:val="18"/>
                <w:szCs w:val="18"/>
              </w:rPr>
              <w:t>36864723043</w:t>
            </w:r>
          </w:p>
        </w:tc>
        <w:tc>
          <w:tcPr>
            <w:tcW w:w="40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6A09EC">
            <w:pPr>
              <w:jc w:val="lef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9B5F6D">
              <w:rPr>
                <w:rFonts w:ascii="Arial" w:hAnsi="Arial" w:cs="Arial"/>
                <w:color w:val="244062"/>
                <w:sz w:val="18"/>
                <w:szCs w:val="18"/>
              </w:rPr>
              <w:t xml:space="preserve">NOVI AGRAR </w:t>
            </w:r>
            <w:r w:rsidR="006A09EC">
              <w:rPr>
                <w:rFonts w:ascii="Arial" w:hAnsi="Arial" w:cs="Arial"/>
                <w:color w:val="244062"/>
                <w:sz w:val="18"/>
                <w:szCs w:val="18"/>
              </w:rPr>
              <w:t>d.o.o.</w:t>
            </w:r>
          </w:p>
        </w:tc>
        <w:tc>
          <w:tcPr>
            <w:tcW w:w="7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2E5A0D" w:rsidRDefault="009B5F6D" w:rsidP="002A6644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0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5F6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11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306.991</w:t>
            </w:r>
          </w:p>
        </w:tc>
        <w:tc>
          <w:tcPr>
            <w:tcW w:w="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5F6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91.16</w:t>
            </w:r>
            <w:r w:rsidR="002A66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</w:t>
            </w:r>
          </w:p>
        </w:tc>
      </w:tr>
      <w:tr w:rsidR="00777040" w:rsidRPr="002E5A0D" w:rsidTr="00777040">
        <w:trPr>
          <w:trHeight w:val="284"/>
          <w:jc w:val="center"/>
        </w:trPr>
        <w:tc>
          <w:tcPr>
            <w:tcW w:w="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B5F6D" w:rsidRPr="002E5A0D" w:rsidRDefault="009B5F6D" w:rsidP="00722DDF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jc w:val="lef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9B5F6D">
              <w:rPr>
                <w:rFonts w:ascii="Arial" w:hAnsi="Arial" w:cs="Arial"/>
                <w:color w:val="244062"/>
                <w:sz w:val="18"/>
                <w:szCs w:val="18"/>
              </w:rPr>
              <w:t>35385249539</w:t>
            </w:r>
          </w:p>
        </w:tc>
        <w:tc>
          <w:tcPr>
            <w:tcW w:w="40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6A09EC">
            <w:pPr>
              <w:jc w:val="lef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9B5F6D">
              <w:rPr>
                <w:rFonts w:ascii="Arial" w:hAnsi="Arial" w:cs="Arial"/>
                <w:color w:val="244062"/>
                <w:sz w:val="18"/>
                <w:szCs w:val="18"/>
              </w:rPr>
              <w:t xml:space="preserve">BELJE PLUS </w:t>
            </w:r>
            <w:r w:rsidR="006A09EC">
              <w:rPr>
                <w:rFonts w:ascii="Arial" w:hAnsi="Arial" w:cs="Arial"/>
                <w:color w:val="244062"/>
                <w:sz w:val="18"/>
                <w:szCs w:val="18"/>
              </w:rPr>
              <w:t>d.o.o.</w:t>
            </w:r>
          </w:p>
        </w:tc>
        <w:tc>
          <w:tcPr>
            <w:tcW w:w="7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777040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5F6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</w:t>
            </w:r>
            <w:r w:rsidR="0077704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arda</w:t>
            </w:r>
          </w:p>
        </w:tc>
        <w:tc>
          <w:tcPr>
            <w:tcW w:w="10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5F6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1.395</w:t>
            </w:r>
          </w:p>
        </w:tc>
        <w:tc>
          <w:tcPr>
            <w:tcW w:w="11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1.077.813</w:t>
            </w:r>
          </w:p>
        </w:tc>
        <w:tc>
          <w:tcPr>
            <w:tcW w:w="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5F6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66.645</w:t>
            </w:r>
          </w:p>
        </w:tc>
      </w:tr>
      <w:tr w:rsidR="00777040" w:rsidRPr="002E5A0D" w:rsidTr="00777040">
        <w:trPr>
          <w:trHeight w:val="284"/>
          <w:jc w:val="center"/>
        </w:trPr>
        <w:tc>
          <w:tcPr>
            <w:tcW w:w="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B5F6D" w:rsidRPr="002E5A0D" w:rsidRDefault="009B5F6D" w:rsidP="00722DDF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jc w:val="lef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9B5F6D">
              <w:rPr>
                <w:rFonts w:ascii="Arial" w:hAnsi="Arial" w:cs="Arial"/>
                <w:color w:val="244062"/>
                <w:sz w:val="18"/>
                <w:szCs w:val="18"/>
              </w:rPr>
              <w:t>67131617872</w:t>
            </w:r>
          </w:p>
        </w:tc>
        <w:tc>
          <w:tcPr>
            <w:tcW w:w="40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6A09EC">
            <w:pPr>
              <w:jc w:val="lef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9B5F6D">
              <w:rPr>
                <w:rFonts w:ascii="Arial" w:hAnsi="Arial" w:cs="Arial"/>
                <w:color w:val="244062"/>
                <w:sz w:val="18"/>
                <w:szCs w:val="18"/>
              </w:rPr>
              <w:t xml:space="preserve">DS SMITH BELIŠĆE CROATIA </w:t>
            </w:r>
            <w:r w:rsidR="006A09EC">
              <w:rPr>
                <w:rFonts w:ascii="Arial" w:hAnsi="Arial" w:cs="Arial"/>
                <w:color w:val="244062"/>
                <w:sz w:val="18"/>
                <w:szCs w:val="18"/>
              </w:rPr>
              <w:t>d.o.o.</w:t>
            </w:r>
          </w:p>
        </w:tc>
        <w:tc>
          <w:tcPr>
            <w:tcW w:w="7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777040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5F6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</w:t>
            </w:r>
            <w:r w:rsidR="0077704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elišće</w:t>
            </w:r>
          </w:p>
        </w:tc>
        <w:tc>
          <w:tcPr>
            <w:tcW w:w="10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5F6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384</w:t>
            </w:r>
          </w:p>
        </w:tc>
        <w:tc>
          <w:tcPr>
            <w:tcW w:w="11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801.017</w:t>
            </w:r>
          </w:p>
        </w:tc>
        <w:tc>
          <w:tcPr>
            <w:tcW w:w="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B5F6D" w:rsidRPr="009B5F6D" w:rsidRDefault="009B5F6D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5F6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32.750</w:t>
            </w:r>
          </w:p>
        </w:tc>
      </w:tr>
      <w:tr w:rsidR="00777040" w:rsidRPr="002E5A0D" w:rsidTr="00777040">
        <w:trPr>
          <w:trHeight w:val="284"/>
          <w:jc w:val="center"/>
        </w:trPr>
        <w:tc>
          <w:tcPr>
            <w:tcW w:w="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2A6644" w:rsidRPr="002E5A0D" w:rsidRDefault="002A6644" w:rsidP="00722DDF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2A6644" w:rsidRPr="002A6644" w:rsidRDefault="002A6644" w:rsidP="002A6644">
            <w:pPr>
              <w:jc w:val="lef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2A6644">
              <w:rPr>
                <w:rFonts w:ascii="Arial" w:hAnsi="Arial" w:cs="Arial"/>
                <w:color w:val="244062"/>
                <w:sz w:val="18"/>
                <w:szCs w:val="18"/>
              </w:rPr>
              <w:t>68189057981</w:t>
            </w:r>
          </w:p>
        </w:tc>
        <w:tc>
          <w:tcPr>
            <w:tcW w:w="40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2A6644" w:rsidRPr="002A6644" w:rsidRDefault="002A6644" w:rsidP="006A09EC">
            <w:pPr>
              <w:jc w:val="lef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2A6644">
              <w:rPr>
                <w:rFonts w:ascii="Arial" w:hAnsi="Arial" w:cs="Arial"/>
                <w:color w:val="244062"/>
                <w:sz w:val="18"/>
                <w:szCs w:val="18"/>
              </w:rPr>
              <w:t xml:space="preserve">NOVOCOMMERCE INTERNATIONAL </w:t>
            </w:r>
            <w:r w:rsidR="006A09EC">
              <w:rPr>
                <w:rFonts w:ascii="Arial" w:hAnsi="Arial" w:cs="Arial"/>
                <w:color w:val="244062"/>
                <w:sz w:val="18"/>
                <w:szCs w:val="18"/>
              </w:rPr>
              <w:t>d.o.o.</w:t>
            </w:r>
          </w:p>
        </w:tc>
        <w:tc>
          <w:tcPr>
            <w:tcW w:w="7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2A6644" w:rsidRPr="002E5A0D" w:rsidRDefault="002A6644" w:rsidP="002A6644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A66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0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2A6644" w:rsidRPr="002A6644" w:rsidRDefault="002A6644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A66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11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2A6644" w:rsidRPr="002A6644" w:rsidRDefault="002A6644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A66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225.57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2A6644" w:rsidRPr="002A6644" w:rsidRDefault="002A6644" w:rsidP="002A6644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A66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22.427</w:t>
            </w:r>
          </w:p>
        </w:tc>
      </w:tr>
      <w:tr w:rsidR="00777040" w:rsidRPr="0076480E" w:rsidTr="00777040">
        <w:trPr>
          <w:trHeight w:val="284"/>
          <w:jc w:val="center"/>
        </w:trPr>
        <w:tc>
          <w:tcPr>
            <w:tcW w:w="666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2A6644" w:rsidRPr="002E5A0D" w:rsidRDefault="002A6644" w:rsidP="00304E0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TOP 5</w:t>
            </w:r>
          </w:p>
        </w:tc>
        <w:tc>
          <w:tcPr>
            <w:tcW w:w="104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A6644" w:rsidRPr="00DD20EB" w:rsidRDefault="002A6644" w:rsidP="002A664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DD20EB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2.548</w:t>
            </w:r>
          </w:p>
        </w:tc>
        <w:tc>
          <w:tcPr>
            <w:tcW w:w="11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A6644" w:rsidRPr="00DD20EB" w:rsidRDefault="002A6644" w:rsidP="002A664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DD20EB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4.271.081</w:t>
            </w:r>
          </w:p>
        </w:tc>
        <w:tc>
          <w:tcPr>
            <w:tcW w:w="91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A6644" w:rsidRPr="00DD20EB" w:rsidRDefault="002A6644" w:rsidP="002A664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DD20EB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316.608</w:t>
            </w:r>
          </w:p>
        </w:tc>
      </w:tr>
      <w:tr w:rsidR="00777040" w:rsidRPr="0076480E" w:rsidTr="00777040">
        <w:trPr>
          <w:trHeight w:val="284"/>
          <w:jc w:val="center"/>
        </w:trPr>
        <w:tc>
          <w:tcPr>
            <w:tcW w:w="666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8CCE4" w:themeFill="accent1" w:themeFillTint="66"/>
            <w:noWrap/>
            <w:vAlign w:val="center"/>
            <w:hideMark/>
          </w:tcPr>
          <w:p w:rsidR="0070082F" w:rsidRPr="002E5A0D" w:rsidRDefault="0070082F" w:rsidP="002E5A0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Ukupno </w:t>
            </w:r>
            <w:r w:rsidR="00304E0F" w:rsidRPr="002E5A0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Urbana aglomeracija Osijek</w:t>
            </w:r>
            <w:r w:rsidRPr="002E5A0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(</w:t>
            </w:r>
            <w:r w:rsidR="00843B61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4.391</w:t>
            </w:r>
            <w:r w:rsidRPr="002E5A0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4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70082F" w:rsidRPr="0076480E" w:rsidRDefault="002A6644" w:rsidP="002A664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2A664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31.329</w:t>
            </w:r>
          </w:p>
        </w:tc>
        <w:tc>
          <w:tcPr>
            <w:tcW w:w="11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70082F" w:rsidRPr="0076480E" w:rsidRDefault="002A6644" w:rsidP="002A664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2A664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21.539.416</w:t>
            </w:r>
          </w:p>
        </w:tc>
        <w:tc>
          <w:tcPr>
            <w:tcW w:w="91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70082F" w:rsidRPr="0076480E" w:rsidRDefault="002A6644" w:rsidP="002A664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2A664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952.094</w:t>
            </w:r>
          </w:p>
        </w:tc>
      </w:tr>
    </w:tbl>
    <w:p w:rsidR="008508A9" w:rsidRPr="004946AC" w:rsidRDefault="008508A9" w:rsidP="008508A9">
      <w:pPr>
        <w:spacing w:before="6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izvještaja, obrada GFI-a za </w:t>
      </w:r>
      <w:r w:rsidR="0053222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2019.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godinu</w:t>
      </w:r>
    </w:p>
    <w:p w:rsidR="006F5893" w:rsidRPr="00845A6B" w:rsidRDefault="006F5893" w:rsidP="002E5A0D">
      <w:pPr>
        <w:spacing w:before="240"/>
        <w:rPr>
          <w:rFonts w:ascii="Arial" w:hAnsi="Arial" w:cs="Arial"/>
          <w:color w:val="104160"/>
          <w:sz w:val="20"/>
          <w:szCs w:val="20"/>
        </w:rPr>
      </w:pPr>
      <w:r w:rsidRPr="00845A6B">
        <w:rPr>
          <w:rFonts w:ascii="Arial" w:hAnsi="Arial" w:cs="Arial"/>
          <w:color w:val="104160"/>
          <w:sz w:val="20"/>
          <w:szCs w:val="20"/>
        </w:rPr>
        <w:t>Među p</w:t>
      </w:r>
      <w:r w:rsidRPr="00845A6B">
        <w:rPr>
          <w:rFonts w:ascii="Arial" w:hAnsi="Arial" w:cs="Arial"/>
          <w:color w:val="244061" w:themeColor="accent1" w:themeShade="80"/>
          <w:sz w:val="20"/>
          <w:szCs w:val="20"/>
        </w:rPr>
        <w:t>oduzet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nicima Urbane aglomeracije Osijek, </w:t>
      </w:r>
      <w:r w:rsidRPr="00845A6B">
        <w:rPr>
          <w:rFonts w:ascii="Arial" w:hAnsi="Arial" w:cs="Arial"/>
          <w:b/>
          <w:color w:val="104160"/>
          <w:sz w:val="20"/>
          <w:szCs w:val="20"/>
        </w:rPr>
        <w:t>najveći prihod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ostvarila </w:t>
      </w:r>
      <w:r w:rsidR="00507BD2" w:rsidRPr="00845A6B">
        <w:rPr>
          <w:rFonts w:ascii="Arial" w:hAnsi="Arial" w:cs="Arial"/>
          <w:color w:val="104160"/>
          <w:sz w:val="20"/>
          <w:szCs w:val="20"/>
        </w:rPr>
        <w:t xml:space="preserve">su </w:t>
      </w:r>
      <w:r w:rsidRPr="00845A6B">
        <w:rPr>
          <w:rFonts w:ascii="Arial" w:hAnsi="Arial" w:cs="Arial"/>
          <w:color w:val="104160"/>
          <w:sz w:val="20"/>
          <w:szCs w:val="20"/>
        </w:rPr>
        <w:t>dva društva</w:t>
      </w:r>
      <w:r w:rsidR="00057EE3" w:rsidRPr="00845A6B">
        <w:rPr>
          <w:rFonts w:ascii="Arial" w:hAnsi="Arial" w:cs="Arial"/>
          <w:color w:val="104160"/>
          <w:sz w:val="20"/>
          <w:szCs w:val="20"/>
        </w:rPr>
        <w:t>,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</w:t>
      </w:r>
      <w:r w:rsidR="00973EB5" w:rsidRPr="00845A6B">
        <w:rPr>
          <w:rFonts w:ascii="Arial" w:hAnsi="Arial" w:cs="Arial"/>
          <w:color w:val="104160"/>
          <w:sz w:val="20"/>
          <w:szCs w:val="20"/>
        </w:rPr>
        <w:t>ŽITO d.o.o.</w:t>
      </w:r>
      <w:r w:rsidR="005E4016" w:rsidRPr="00845A6B">
        <w:rPr>
          <w:rFonts w:ascii="Arial" w:hAnsi="Arial" w:cs="Arial"/>
          <w:color w:val="104160"/>
          <w:sz w:val="20"/>
          <w:szCs w:val="20"/>
        </w:rPr>
        <w:t xml:space="preserve"> iz Osijeka </w:t>
      </w:r>
      <w:r w:rsidRPr="00845A6B">
        <w:rPr>
          <w:rFonts w:ascii="Arial" w:hAnsi="Arial" w:cs="Arial"/>
          <w:color w:val="104160"/>
          <w:sz w:val="20"/>
          <w:szCs w:val="20"/>
        </w:rPr>
        <w:t>(1,</w:t>
      </w:r>
      <w:r w:rsidR="00C9249B" w:rsidRPr="00845A6B">
        <w:rPr>
          <w:rFonts w:ascii="Arial" w:hAnsi="Arial" w:cs="Arial"/>
          <w:color w:val="104160"/>
          <w:sz w:val="20"/>
          <w:szCs w:val="20"/>
        </w:rPr>
        <w:t>9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milijard</w:t>
      </w:r>
      <w:r w:rsidR="007534A2" w:rsidRPr="00845A6B">
        <w:rPr>
          <w:rFonts w:ascii="Arial" w:hAnsi="Arial" w:cs="Arial"/>
          <w:color w:val="104160"/>
          <w:sz w:val="20"/>
          <w:szCs w:val="20"/>
        </w:rPr>
        <w:t>i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kuna) i </w:t>
      </w:r>
      <w:r w:rsidR="005E4016" w:rsidRPr="00845A6B">
        <w:rPr>
          <w:rFonts w:ascii="Arial" w:hAnsi="Arial" w:cs="Arial"/>
          <w:color w:val="104160"/>
          <w:sz w:val="20"/>
          <w:szCs w:val="20"/>
        </w:rPr>
        <w:t>Belje plus</w:t>
      </w:r>
      <w:r w:rsidR="00C9249B" w:rsidRPr="00845A6B">
        <w:rPr>
          <w:rFonts w:ascii="Arial" w:hAnsi="Arial" w:cs="Arial"/>
          <w:color w:val="104160"/>
          <w:sz w:val="20"/>
          <w:szCs w:val="20"/>
        </w:rPr>
        <w:t xml:space="preserve"> </w:t>
      </w:r>
      <w:r w:rsidR="000F574D" w:rsidRPr="00845A6B">
        <w:rPr>
          <w:rFonts w:ascii="Arial" w:hAnsi="Arial" w:cs="Arial"/>
          <w:color w:val="104160"/>
          <w:sz w:val="20"/>
          <w:szCs w:val="20"/>
        </w:rPr>
        <w:t>d</w:t>
      </w:r>
      <w:r w:rsidRPr="00845A6B">
        <w:rPr>
          <w:rFonts w:ascii="Arial" w:hAnsi="Arial" w:cs="Arial"/>
          <w:color w:val="104160"/>
          <w:sz w:val="20"/>
          <w:szCs w:val="20"/>
        </w:rPr>
        <w:t>.</w:t>
      </w:r>
      <w:r w:rsidR="00C9249B" w:rsidRPr="00845A6B">
        <w:rPr>
          <w:rFonts w:ascii="Arial" w:hAnsi="Arial" w:cs="Arial"/>
          <w:color w:val="104160"/>
          <w:sz w:val="20"/>
          <w:szCs w:val="20"/>
        </w:rPr>
        <w:t>o.o.</w:t>
      </w:r>
      <w:r w:rsidR="005E4016" w:rsidRPr="00845A6B">
        <w:rPr>
          <w:rFonts w:ascii="Arial" w:hAnsi="Arial" w:cs="Arial"/>
          <w:color w:val="104160"/>
          <w:sz w:val="20"/>
          <w:szCs w:val="20"/>
        </w:rPr>
        <w:t xml:space="preserve"> iz Darde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(</w:t>
      </w:r>
      <w:r w:rsidR="007534A2" w:rsidRPr="00845A6B">
        <w:rPr>
          <w:rFonts w:ascii="Arial" w:hAnsi="Arial" w:cs="Arial"/>
          <w:color w:val="104160"/>
          <w:sz w:val="20"/>
          <w:szCs w:val="20"/>
        </w:rPr>
        <w:t>1,</w:t>
      </w:r>
      <w:r w:rsidR="005E4016" w:rsidRPr="00845A6B">
        <w:rPr>
          <w:rFonts w:ascii="Arial" w:hAnsi="Arial" w:cs="Arial"/>
          <w:color w:val="104160"/>
          <w:sz w:val="20"/>
          <w:szCs w:val="20"/>
        </w:rPr>
        <w:t>1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mili</w:t>
      </w:r>
      <w:r w:rsidR="000F574D" w:rsidRPr="00845A6B">
        <w:rPr>
          <w:rFonts w:ascii="Arial" w:hAnsi="Arial" w:cs="Arial"/>
          <w:color w:val="104160"/>
          <w:sz w:val="20"/>
          <w:szCs w:val="20"/>
        </w:rPr>
        <w:t>j</w:t>
      </w:r>
      <w:r w:rsidR="007534A2" w:rsidRPr="00845A6B">
        <w:rPr>
          <w:rFonts w:ascii="Arial" w:hAnsi="Arial" w:cs="Arial"/>
          <w:color w:val="104160"/>
          <w:sz w:val="20"/>
          <w:szCs w:val="20"/>
        </w:rPr>
        <w:t>ard</w:t>
      </w:r>
      <w:r w:rsidR="005E4016" w:rsidRPr="00845A6B">
        <w:rPr>
          <w:rFonts w:ascii="Arial" w:hAnsi="Arial" w:cs="Arial"/>
          <w:color w:val="104160"/>
          <w:sz w:val="20"/>
          <w:szCs w:val="20"/>
        </w:rPr>
        <w:t>u</w:t>
      </w:r>
      <w:r w:rsidR="0044036A" w:rsidRPr="00845A6B">
        <w:rPr>
          <w:rFonts w:ascii="Arial" w:hAnsi="Arial" w:cs="Arial"/>
          <w:color w:val="104160"/>
          <w:sz w:val="20"/>
          <w:szCs w:val="20"/>
        </w:rPr>
        <w:t xml:space="preserve"> kuna).</w:t>
      </w:r>
    </w:p>
    <w:p w:rsidR="00B936E5" w:rsidRDefault="00B35405" w:rsidP="002E5A0D">
      <w:pPr>
        <w:spacing w:before="240" w:line="240" w:lineRule="auto"/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</w:pPr>
      <w:r w:rsidRPr="00845A6B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>Slika</w:t>
      </w:r>
      <w:r w:rsidR="00226B84" w:rsidRPr="00845A6B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 xml:space="preserve"> </w:t>
      </w:r>
      <w:r w:rsidRPr="00845A6B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>1</w:t>
      </w:r>
      <w:r w:rsidR="00B936E5" w:rsidRPr="00845A6B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>.</w:t>
      </w:r>
      <w:r w:rsidR="00B936E5" w:rsidRPr="00845A6B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ab/>
        <w:t>Prikaz rezultata poslovanja poduzetnika ŽITO d.o.o.</w:t>
      </w:r>
    </w:p>
    <w:p w:rsidR="00BB1286" w:rsidRDefault="00BB1286" w:rsidP="00BB1286">
      <w:pPr>
        <w:spacing w:before="60" w:line="240" w:lineRule="auto"/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</w:pPr>
      <w:r>
        <w:rPr>
          <w:rFonts w:ascii="Arial" w:eastAsia="Times New Roman" w:hAnsi="Arial"/>
          <w:b/>
          <w:bCs/>
          <w:noProof/>
          <w:color w:val="244061"/>
          <w:sz w:val="18"/>
          <w:szCs w:val="18"/>
          <w:lang w:val="en-US"/>
        </w:rPr>
        <w:drawing>
          <wp:inline distT="0" distB="0" distL="0" distR="0" wp14:anchorId="6B46F619" wp14:editId="1C5BFEF1">
            <wp:extent cx="6210604" cy="1741018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437" cy="1745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36E5" w:rsidRDefault="00D44D64" w:rsidP="00BB1286">
      <w:pPr>
        <w:spacing w:before="60"/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</w:pPr>
      <w:r w:rsidRPr="00D44D64">
        <w:rPr>
          <w:rFonts w:ascii="Arial" w:hAnsi="Arial" w:cs="Arial"/>
          <w:i/>
          <w:noProof/>
          <w:color w:val="17365D" w:themeColor="text2" w:themeShade="BF"/>
          <w:sz w:val="16"/>
          <w:szCs w:val="16"/>
          <w:lang w:eastAsia="hr-HR"/>
        </w:rPr>
        <w:t>I</w:t>
      </w:r>
      <w:r w:rsidR="00B936E5" w:rsidRPr="00D44D64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zvo</w:t>
      </w:r>
      <w:r w:rsidR="00B936E5" w:rsidRPr="007D2520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r: Financijska agencija, servis </w:t>
      </w:r>
      <w:hyperlink r:id="rId12" w:history="1">
        <w:r w:rsidR="00B936E5" w:rsidRPr="007D2520">
          <w:rPr>
            <w:rStyle w:val="Hiperveza"/>
            <w:rFonts w:ascii="Arial" w:eastAsia="Times New Roman" w:hAnsi="Arial" w:cs="Times New Roman"/>
            <w:i/>
            <w:sz w:val="16"/>
            <w:szCs w:val="16"/>
            <w:lang w:eastAsia="hr-HR"/>
          </w:rPr>
          <w:t>info.BIZ</w:t>
        </w:r>
      </w:hyperlink>
    </w:p>
    <w:p w:rsidR="00B936E5" w:rsidRPr="00845A6B" w:rsidRDefault="00B936E5" w:rsidP="002E5A0D">
      <w:pPr>
        <w:spacing w:before="240"/>
        <w:rPr>
          <w:rFonts w:ascii="Arial" w:hAnsi="Arial" w:cs="Arial"/>
          <w:color w:val="104160"/>
          <w:sz w:val="20"/>
          <w:szCs w:val="20"/>
        </w:rPr>
      </w:pPr>
      <w:r w:rsidRPr="00845A6B">
        <w:rPr>
          <w:rFonts w:ascii="Arial" w:hAnsi="Arial" w:cs="Arial"/>
          <w:color w:val="104160"/>
          <w:sz w:val="20"/>
          <w:szCs w:val="20"/>
        </w:rPr>
        <w:t xml:space="preserve">Prema produktivnosti (prihodu po zaposlenom), na prvom su mjestu poduzetnici općine </w:t>
      </w:r>
      <w:r w:rsidR="00F23C14" w:rsidRPr="00845A6B">
        <w:rPr>
          <w:rFonts w:ascii="Arial" w:hAnsi="Arial" w:cs="Arial"/>
          <w:color w:val="104160"/>
          <w:sz w:val="20"/>
          <w:szCs w:val="20"/>
        </w:rPr>
        <w:t>Čepin</w:t>
      </w:r>
      <w:r w:rsidRPr="00845A6B">
        <w:rPr>
          <w:rFonts w:ascii="Arial" w:hAnsi="Arial" w:cs="Arial"/>
          <w:color w:val="104160"/>
          <w:sz w:val="20"/>
          <w:szCs w:val="20"/>
        </w:rPr>
        <w:t>, s</w:t>
      </w:r>
      <w:r w:rsidR="007775A4" w:rsidRPr="00845A6B">
        <w:rPr>
          <w:rFonts w:ascii="Arial" w:hAnsi="Arial" w:cs="Arial"/>
          <w:color w:val="104160"/>
          <w:sz w:val="20"/>
          <w:szCs w:val="20"/>
        </w:rPr>
        <w:t>a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1,</w:t>
      </w:r>
      <w:r w:rsidR="00F23C14" w:rsidRPr="00845A6B">
        <w:rPr>
          <w:rFonts w:ascii="Arial" w:hAnsi="Arial" w:cs="Arial"/>
          <w:color w:val="104160"/>
          <w:sz w:val="20"/>
          <w:szCs w:val="20"/>
        </w:rPr>
        <w:t>1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4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milijun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a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kuna</w:t>
      </w:r>
      <w:r w:rsidR="002E5A0D" w:rsidRPr="00845A6B">
        <w:rPr>
          <w:rFonts w:ascii="Arial" w:hAnsi="Arial" w:cs="Arial"/>
          <w:color w:val="104160"/>
          <w:sz w:val="20"/>
          <w:szCs w:val="20"/>
        </w:rPr>
        <w:t>. Među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poduzetnicima navedene općine na prvom mjestu </w:t>
      </w:r>
      <w:r w:rsidR="002E5A0D" w:rsidRPr="00845A6B">
        <w:rPr>
          <w:rFonts w:ascii="Arial" w:hAnsi="Arial" w:cs="Arial"/>
          <w:color w:val="104160"/>
          <w:sz w:val="20"/>
          <w:szCs w:val="20"/>
        </w:rPr>
        <w:t xml:space="preserve">je </w:t>
      </w:r>
      <w:r w:rsidR="007775A4" w:rsidRPr="00845A6B">
        <w:rPr>
          <w:rFonts w:ascii="Arial" w:hAnsi="Arial" w:cs="Arial"/>
          <w:color w:val="104160"/>
          <w:sz w:val="20"/>
          <w:szCs w:val="20"/>
        </w:rPr>
        <w:t>društvo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AGROBEKETINCI d.o.o. iz Beketin</w:t>
      </w:r>
      <w:r w:rsidR="00DD20EB" w:rsidRPr="00845A6B">
        <w:rPr>
          <w:rFonts w:ascii="Arial" w:hAnsi="Arial" w:cs="Arial"/>
          <w:color w:val="104160"/>
          <w:sz w:val="20"/>
          <w:szCs w:val="20"/>
        </w:rPr>
        <w:t>a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 xml:space="preserve">ca </w:t>
      </w:r>
      <w:r w:rsidR="006E4949" w:rsidRPr="00845A6B">
        <w:rPr>
          <w:rFonts w:ascii="Arial" w:hAnsi="Arial" w:cs="Arial"/>
          <w:color w:val="104160"/>
          <w:sz w:val="20"/>
          <w:szCs w:val="20"/>
        </w:rPr>
        <w:t xml:space="preserve">(OIB 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00081039067</w:t>
      </w:r>
      <w:r w:rsidR="006E4949" w:rsidRPr="00845A6B">
        <w:rPr>
          <w:rFonts w:ascii="Arial" w:hAnsi="Arial" w:cs="Arial"/>
          <w:color w:val="104160"/>
          <w:sz w:val="20"/>
          <w:szCs w:val="20"/>
        </w:rPr>
        <w:t>)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, sa prosjekom od 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2,3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</w:t>
      </w:r>
      <w:r w:rsidR="00474866">
        <w:rPr>
          <w:rFonts w:ascii="Arial" w:hAnsi="Arial" w:cs="Arial"/>
          <w:color w:val="104160"/>
          <w:sz w:val="20"/>
          <w:szCs w:val="20"/>
        </w:rPr>
        <w:t>milijuna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 xml:space="preserve"> </w:t>
      </w:r>
      <w:r w:rsidRPr="00845A6B">
        <w:rPr>
          <w:rFonts w:ascii="Arial" w:hAnsi="Arial" w:cs="Arial"/>
          <w:color w:val="104160"/>
          <w:sz w:val="20"/>
          <w:szCs w:val="20"/>
        </w:rPr>
        <w:t>kuna po zaposlenom (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5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zaposlen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ih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). Pretežita djelatnost ovog poduzetnika je 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46</w:t>
      </w:r>
      <w:r w:rsidRPr="00845A6B">
        <w:rPr>
          <w:rFonts w:ascii="Arial" w:hAnsi="Arial" w:cs="Arial"/>
          <w:color w:val="104160"/>
          <w:sz w:val="20"/>
          <w:szCs w:val="20"/>
        </w:rPr>
        <w:t>.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90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–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Nespecijalizirana trgovina na veliko</w:t>
      </w:r>
      <w:r w:rsidRPr="00845A6B">
        <w:rPr>
          <w:rFonts w:ascii="Arial" w:hAnsi="Arial" w:cs="Arial"/>
          <w:color w:val="104160"/>
          <w:sz w:val="20"/>
          <w:szCs w:val="20"/>
        </w:rPr>
        <w:t>.</w:t>
      </w:r>
    </w:p>
    <w:p w:rsidR="002E5A0D" w:rsidRPr="00845A6B" w:rsidRDefault="002E5A0D" w:rsidP="00040141">
      <w:pPr>
        <w:spacing w:before="180"/>
        <w:rPr>
          <w:rFonts w:ascii="Arial" w:hAnsi="Arial" w:cs="Arial"/>
          <w:color w:val="104160"/>
          <w:sz w:val="20"/>
          <w:szCs w:val="20"/>
        </w:rPr>
      </w:pPr>
      <w:r w:rsidRPr="00845A6B">
        <w:rPr>
          <w:rFonts w:ascii="Arial" w:hAnsi="Arial" w:cs="Arial"/>
          <w:color w:val="104160"/>
          <w:sz w:val="20"/>
          <w:szCs w:val="20"/>
        </w:rPr>
        <w:t xml:space="preserve">Prema istom kriteriju iza poduzetnika općine 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 xml:space="preserve">Čepin 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su poduzetnici općine 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Šodolovci s</w:t>
      </w:r>
      <w:r w:rsidR="007775A4" w:rsidRPr="00845A6B">
        <w:rPr>
          <w:rFonts w:ascii="Arial" w:hAnsi="Arial" w:cs="Arial"/>
          <w:color w:val="104160"/>
          <w:sz w:val="20"/>
          <w:szCs w:val="20"/>
        </w:rPr>
        <w:t>a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 xml:space="preserve"> 1,12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milijuna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kuna te poduzetnici općine 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Koška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s</w:t>
      </w:r>
      <w:r w:rsidR="007775A4" w:rsidRPr="00845A6B">
        <w:rPr>
          <w:rFonts w:ascii="Arial" w:hAnsi="Arial" w:cs="Arial"/>
          <w:color w:val="104160"/>
          <w:sz w:val="20"/>
          <w:szCs w:val="20"/>
        </w:rPr>
        <w:t>a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9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4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2 tisuće kuna po zaposlenom. </w:t>
      </w:r>
    </w:p>
    <w:p w:rsidR="002E5A0D" w:rsidRPr="00845A6B" w:rsidRDefault="002E5A0D" w:rsidP="00040141">
      <w:pPr>
        <w:spacing w:before="180"/>
        <w:rPr>
          <w:rFonts w:ascii="Arial" w:hAnsi="Arial" w:cs="Arial"/>
          <w:color w:val="104160"/>
          <w:sz w:val="20"/>
          <w:szCs w:val="20"/>
        </w:rPr>
      </w:pPr>
      <w:r w:rsidRPr="00845A6B">
        <w:rPr>
          <w:rFonts w:ascii="Arial" w:hAnsi="Arial" w:cs="Arial"/>
          <w:color w:val="104160"/>
          <w:sz w:val="20"/>
          <w:szCs w:val="20"/>
        </w:rPr>
        <w:t xml:space="preserve">Za usporedbu, produktivnost poduzetnika na razini RH u </w:t>
      </w:r>
      <w:r w:rsidR="0053222C" w:rsidRPr="00845A6B">
        <w:rPr>
          <w:rFonts w:ascii="Arial" w:hAnsi="Arial" w:cs="Arial"/>
          <w:color w:val="104160"/>
          <w:sz w:val="20"/>
          <w:szCs w:val="20"/>
        </w:rPr>
        <w:t>2019.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godini iznosila je 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821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tisuć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u</w:t>
      </w:r>
      <w:r w:rsidRPr="00845A6B">
        <w:rPr>
          <w:rFonts w:ascii="Arial" w:hAnsi="Arial" w:cs="Arial"/>
          <w:color w:val="104160"/>
          <w:sz w:val="20"/>
          <w:szCs w:val="20"/>
        </w:rPr>
        <w:t xml:space="preserve"> kuna</w:t>
      </w:r>
      <w:r w:rsidR="00040141" w:rsidRPr="00845A6B">
        <w:rPr>
          <w:rFonts w:ascii="Arial" w:hAnsi="Arial" w:cs="Arial"/>
          <w:color w:val="104160"/>
          <w:sz w:val="20"/>
          <w:szCs w:val="20"/>
        </w:rPr>
        <w:t>, a produktivnost Urbane aglomeracije Osijek 688 tisuća kuna</w:t>
      </w:r>
      <w:r w:rsidRPr="00845A6B">
        <w:rPr>
          <w:rFonts w:ascii="Arial" w:hAnsi="Arial" w:cs="Arial"/>
          <w:color w:val="104160"/>
          <w:sz w:val="20"/>
          <w:szCs w:val="20"/>
        </w:rPr>
        <w:t>.</w:t>
      </w:r>
    </w:p>
    <w:p w:rsidR="00E1622B" w:rsidRPr="00C2581F" w:rsidRDefault="005749A0" w:rsidP="006A09EC">
      <w:pPr>
        <w:pageBreakBefore/>
        <w:widowControl w:val="0"/>
        <w:tabs>
          <w:tab w:val="left" w:pos="1134"/>
        </w:tabs>
        <w:spacing w:before="180" w:after="60" w:line="240" w:lineRule="auto"/>
        <w:ind w:left="1134" w:hanging="1134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845A6B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lastRenderedPageBreak/>
        <w:t>Grafikon</w:t>
      </w:r>
      <w:r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B35405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E1622B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E1622B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1F4F7D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TOP </w:t>
      </w:r>
      <w:r w:rsidR="00605FAB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10</w:t>
      </w:r>
      <w:r w:rsidR="001F4F7D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CA6B63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poduzetnika </w:t>
      </w:r>
      <w:r w:rsidR="00CA6B63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>prema produktivnosti</w:t>
      </w:r>
      <w:r w:rsidR="004F0B60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</w:t>
      </w:r>
      <w:r w:rsidR="0053222C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2019.</w:t>
      </w:r>
      <w:r w:rsidR="00E1622B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g</w:t>
      </w:r>
      <w:r w:rsidR="00226B84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odini,</w:t>
      </w:r>
      <w:r w:rsidR="00E1622B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na razini gradova/općina Urbane aglomeracije </w:t>
      </w:r>
      <w:r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Osijek</w:t>
      </w:r>
      <w:r w:rsidR="00CA6B63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CA6B63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CA6B63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CA6B63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CA6B63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CA6B63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CA6B63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E1622B" w:rsidRPr="00845A6B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E1622B" w:rsidRPr="00845A6B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(iznosi u tisućama </w:t>
      </w:r>
      <w:r w:rsidR="00E1622B" w:rsidRPr="00845A6B">
        <w:rPr>
          <w:rFonts w:ascii="Arial" w:eastAsia="Times New Roman" w:hAnsi="Arial" w:cs="Arial"/>
          <w:color w:val="17365D"/>
          <w:sz w:val="16"/>
          <w:szCs w:val="16"/>
          <w:lang w:eastAsia="hr-HR"/>
        </w:rPr>
        <w:t>kuna)</w:t>
      </w:r>
    </w:p>
    <w:p w:rsidR="00E1622B" w:rsidRPr="00E1622B" w:rsidRDefault="00D44D64" w:rsidP="00D44D64">
      <w:pPr>
        <w:spacing w:after="40" w:line="240" w:lineRule="auto"/>
        <w:jc w:val="center"/>
        <w:rPr>
          <w:rFonts w:ascii="Arial" w:eastAsia="Times New Roman" w:hAnsi="Arial" w:cs="Arial"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val="en-US"/>
        </w:rPr>
        <w:drawing>
          <wp:inline distT="0" distB="0" distL="0" distR="0" wp14:anchorId="10501FB9" wp14:editId="6CDDAA36">
            <wp:extent cx="5983832" cy="2428646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981" cy="2432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42B5" w:rsidRDefault="00E1622B" w:rsidP="00500206">
      <w:pPr>
        <w:widowControl w:val="0"/>
        <w:spacing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825E5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</w:t>
      </w:r>
      <w:r w:rsidR="004E4E56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, </w:t>
      </w:r>
      <w:r w:rsidR="004E4E56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obrada GFI-a za </w:t>
      </w:r>
      <w:r w:rsidR="0053222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2019.</w:t>
      </w:r>
      <w:r w:rsidR="004E4E56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godinu</w:t>
      </w:r>
    </w:p>
    <w:p w:rsidR="002E5A0D" w:rsidRPr="00845A6B" w:rsidRDefault="00E01F8C" w:rsidP="002E5A0D">
      <w:pPr>
        <w:widowControl w:val="0"/>
        <w:spacing w:before="240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845A6B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Prosječna mjesečna neto plaća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obračuna</w:t>
      </w:r>
      <w:r w:rsidR="00270DBA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ta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kod poduzetnika Urbane aglomeracije Osijek u 201</w:t>
      </w:r>
      <w:r w:rsidR="007042BA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9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. godini iznosila je </w:t>
      </w:r>
      <w:r w:rsidR="005B277E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4.8</w:t>
      </w:r>
      <w:r w:rsidR="00040141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54</w:t>
      </w:r>
      <w:r w:rsidR="002237CA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kun</w:t>
      </w:r>
      <w:r w:rsidR="00040141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odnosno </w:t>
      </w:r>
      <w:r w:rsidR="00D31C77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2,0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više u odnosu na prethodnu godinu te </w:t>
      </w:r>
      <w:r w:rsidR="00040141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0,8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više od prosječne mjesečne </w:t>
      </w:r>
      <w:r w:rsidR="00270DBA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nešto 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plaće </w:t>
      </w:r>
      <w:r w:rsidR="00270DBA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obračunate </w:t>
      </w:r>
      <w:r w:rsidR="00297F1F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</w:t>
      </w:r>
      <w:r w:rsidR="00270DBA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kod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poduzetnika </w:t>
      </w:r>
      <w:r w:rsidR="00270DBA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Osječko-baranjske županije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(4.</w:t>
      </w:r>
      <w:r w:rsidR="00040141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817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kuna)</w:t>
      </w:r>
      <w:r w:rsidR="006A09EC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6A09EC" w:rsidRPr="00845A6B" w:rsidRDefault="002E5A0D" w:rsidP="00787F53">
      <w:pPr>
        <w:widowControl w:val="0"/>
        <w:spacing w:before="120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845A6B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Najviša</w:t>
      </w:r>
      <w:r w:rsidRPr="00845A6B">
        <w:rPr>
          <w:rFonts w:ascii="Arial" w:eastAsia="Times New Roman" w:hAnsi="Arial"/>
          <w:bCs/>
          <w:color w:val="FF0000"/>
          <w:sz w:val="20"/>
          <w:szCs w:val="20"/>
          <w:lang w:eastAsia="hr-HR"/>
        </w:rPr>
        <w:t xml:space="preserve"> 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prosječna mjesečna neto plaća obračunata je zaposlenima kod poduzetnika u općini </w:t>
      </w:r>
      <w:r w:rsidR="000B4C88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Kneževi Vinogradi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(5.</w:t>
      </w:r>
      <w:r w:rsidR="000B4C88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652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kuna), slijede poduzetnici Belišća (5.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554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), 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Valpov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 (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4.992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kune), 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Bizovca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4.909 kuna) i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Os</w:t>
      </w:r>
      <w:r w:rsidR="002115C9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jeka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4.891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kunu).</w:t>
      </w:r>
      <w:r w:rsidRPr="00845A6B">
        <w:rPr>
          <w:rFonts w:ascii="Arial" w:eastAsia="Times New Roman" w:hAnsi="Arial"/>
          <w:bCs/>
          <w:color w:val="FF0000"/>
          <w:sz w:val="20"/>
          <w:szCs w:val="20"/>
          <w:lang w:eastAsia="hr-HR"/>
        </w:rPr>
        <w:t xml:space="preserve"> </w:t>
      </w:r>
      <w:r w:rsidRPr="00845A6B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 xml:space="preserve">Najniža 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prosječ</w:t>
      </w:r>
      <w:r w:rsidR="00845A6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na mjesečna neto plaća obračunat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je zaposlenima kod poduzetnika u općini 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Čeminac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(3.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328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kuna). </w:t>
      </w:r>
    </w:p>
    <w:p w:rsidR="00E01F8C" w:rsidRPr="00845A6B" w:rsidRDefault="002E5A0D" w:rsidP="00787F53">
      <w:pPr>
        <w:widowControl w:val="0"/>
        <w:spacing w:before="120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 usporedbu, prosječna mjesečna neto plaća zaposlenih kod poduzetnika na razini RH iznosila je 5.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815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kuna, što je 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19,8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 više u odnosu na prosječnu mjesečnu neto plaću na razini Urbane aglomeracije Osijek (4.8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54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kuna) i 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20,7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 više u odnosu na prosječnu mjesečnu neto plaću na razini Osječko-baranjske županije (4.</w:t>
      </w:r>
      <w:r w:rsidR="00462AAB"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817</w:t>
      </w:r>
      <w:r w:rsidRPr="00845A6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kuna).</w:t>
      </w:r>
    </w:p>
    <w:p w:rsidR="004B052F" w:rsidRPr="00C2581F" w:rsidRDefault="004B052F" w:rsidP="006A09EC">
      <w:pPr>
        <w:widowControl w:val="0"/>
        <w:tabs>
          <w:tab w:val="left" w:pos="1418"/>
        </w:tabs>
        <w:spacing w:before="240" w:after="60" w:line="240" w:lineRule="auto"/>
        <w:ind w:left="1134" w:hanging="1134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Grafikon </w:t>
      </w:r>
      <w:r w:rsidR="00B35405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Prosječna mjesečna neto plaća zaposlen</w:t>
      </w:r>
      <w:r w:rsidR="00297F1F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ih</w:t>
      </w:r>
      <w:r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</w:t>
      </w:r>
      <w:r w:rsidR="0053222C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2019.</w:t>
      </w:r>
      <w:r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godini </w:t>
      </w:r>
      <w:r w:rsidR="00297F1F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kod poduzetnika, promatrano </w:t>
      </w:r>
      <w:r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po gradovima i općinama</w:t>
      </w:r>
      <w:r w:rsidR="00A14886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Urbane aglomeracije</w:t>
      </w:r>
      <w:r w:rsidR="00A14886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Osijek (TOP</w:t>
      </w:r>
      <w:r w:rsidR="00297F1F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FC728C"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Pr="00845A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)</w:t>
      </w:r>
      <w:r w:rsidRPr="00845A6B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="00A14886" w:rsidRPr="00845A6B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="00A14886" w:rsidRPr="00845A6B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="00397448" w:rsidRPr="00845A6B">
        <w:rPr>
          <w:rFonts w:ascii="Arial" w:eastAsia="Times New Roman" w:hAnsi="Arial" w:cs="Arial"/>
          <w:color w:val="17365D"/>
          <w:sz w:val="18"/>
          <w:szCs w:val="18"/>
          <w:lang w:eastAsia="hr-HR"/>
        </w:rPr>
        <w:t xml:space="preserve">    </w:t>
      </w:r>
      <w:r w:rsidRPr="00845A6B">
        <w:rPr>
          <w:rFonts w:ascii="Arial" w:eastAsia="Times New Roman" w:hAnsi="Arial" w:cs="Arial"/>
          <w:color w:val="17365D"/>
          <w:sz w:val="16"/>
          <w:szCs w:val="16"/>
          <w:lang w:eastAsia="hr-HR"/>
        </w:rPr>
        <w:t>(iznosi u tisućama kn)</w:t>
      </w:r>
    </w:p>
    <w:p w:rsidR="00476AC7" w:rsidRDefault="00D44D64" w:rsidP="006A09EC">
      <w:pPr>
        <w:spacing w:before="40" w:after="40" w:line="240" w:lineRule="auto"/>
        <w:jc w:val="center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Times New Roman"/>
          <w:bCs/>
          <w:i/>
          <w:noProof/>
          <w:color w:val="17365D"/>
          <w:sz w:val="16"/>
          <w:szCs w:val="16"/>
          <w:lang w:val="en-US"/>
        </w:rPr>
        <w:drawing>
          <wp:inline distT="0" distB="0" distL="0" distR="0" wp14:anchorId="0ED7C7B1" wp14:editId="07147E56">
            <wp:extent cx="6132301" cy="2260396"/>
            <wp:effectExtent l="0" t="0" r="1905" b="698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762" cy="2260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52F" w:rsidRPr="00FC728C" w:rsidRDefault="00476AC7" w:rsidP="00397448">
      <w:pPr>
        <w:spacing w:before="40" w:after="8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FC728C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  <w:r w:rsidRPr="00FC728C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, </w:t>
      </w:r>
      <w:r w:rsidRPr="00FC728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obrada GFI-a za </w:t>
      </w:r>
      <w:r w:rsidR="0053222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2019.</w:t>
      </w:r>
      <w:r w:rsidR="004E4E56" w:rsidRPr="00FC728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 godinu</w:t>
      </w:r>
    </w:p>
    <w:p w:rsidR="00F864A1" w:rsidRPr="00132FFE" w:rsidRDefault="00F864A1" w:rsidP="00F864A1">
      <w:pPr>
        <w:pBdr>
          <w:bottom w:val="single" w:sz="12" w:space="1" w:color="auto"/>
        </w:pBdr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397448" w:rsidRPr="00397448" w:rsidRDefault="00572D4E" w:rsidP="00397448">
      <w:pPr>
        <w:widowControl w:val="0"/>
        <w:tabs>
          <w:tab w:val="left" w:pos="343"/>
        </w:tabs>
        <w:spacing w:before="100"/>
        <w:rPr>
          <w:rFonts w:ascii="Arial" w:eastAsia="Calibri" w:hAnsi="Arial" w:cs="Arial"/>
          <w:i/>
          <w:color w:val="244061"/>
          <w:sz w:val="18"/>
          <w:szCs w:val="18"/>
          <w:shd w:val="clear" w:color="auto" w:fill="FFFFFF"/>
        </w:rPr>
      </w:pPr>
      <w:hyperlink r:id="rId15" w:history="1">
        <w:r w:rsidR="00397448" w:rsidRPr="00845A6B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  <w:shd w:val="clear" w:color="auto" w:fill="FFFFFF"/>
          </w:rPr>
          <w:t>Info.BIZ</w:t>
        </w:r>
      </w:hyperlink>
      <w:r w:rsidR="00397448" w:rsidRPr="00845A6B">
        <w:rPr>
          <w:rFonts w:ascii="Arial" w:eastAsia="Calibri" w:hAnsi="Arial" w:cs="Arial"/>
          <w:i/>
          <w:color w:val="0000FF"/>
          <w:sz w:val="18"/>
          <w:szCs w:val="18"/>
          <w:u w:val="single"/>
          <w:shd w:val="clear" w:color="auto" w:fill="FFFFFF"/>
        </w:rPr>
        <w:t xml:space="preserve"> </w:t>
      </w:r>
      <w:r w:rsidR="00397448" w:rsidRPr="00845A6B">
        <w:rPr>
          <w:rFonts w:ascii="Arial" w:eastAsia="Calibri" w:hAnsi="Arial" w:cs="Arial"/>
          <w:i/>
          <w:color w:val="244061"/>
          <w:sz w:val="18"/>
          <w:szCs w:val="18"/>
          <w:shd w:val="clear" w:color="auto" w:fill="FFFFFF"/>
        </w:rPr>
        <w:t>servis pruža uvid u</w:t>
      </w:r>
      <w:r w:rsidR="00397448" w:rsidRPr="00397448">
        <w:rPr>
          <w:rFonts w:ascii="Arial" w:eastAsia="Calibri" w:hAnsi="Arial" w:cs="Arial"/>
          <w:i/>
          <w:color w:val="244061"/>
          <w:sz w:val="18"/>
          <w:szCs w:val="18"/>
          <w:shd w:val="clear" w:color="auto" w:fill="FFFFFF"/>
        </w:rPr>
        <w:t xml:space="preserve"> informacije o uspješnosti poslovanja i financijskom položaju svih poslovnih subjekata te o poslovnoj okolini u kojoj oni djeluju. Najveća je i najažurnija baza poslovnih informacija za više od </w:t>
      </w:r>
      <w:r w:rsidR="00397448" w:rsidRPr="00397448">
        <w:rPr>
          <w:rFonts w:ascii="Arial" w:eastAsia="Calibri" w:hAnsi="Arial" w:cs="Arial"/>
          <w:b/>
          <w:i/>
          <w:color w:val="244061"/>
          <w:sz w:val="18"/>
          <w:szCs w:val="18"/>
          <w:u w:val="single"/>
          <w:shd w:val="clear" w:color="auto" w:fill="FFFFFF"/>
        </w:rPr>
        <w:t>8</w:t>
      </w:r>
      <w:r w:rsidR="009016C0">
        <w:rPr>
          <w:rFonts w:ascii="Arial" w:eastAsia="Calibri" w:hAnsi="Arial" w:cs="Arial"/>
          <w:b/>
          <w:i/>
          <w:color w:val="244061"/>
          <w:sz w:val="18"/>
          <w:szCs w:val="18"/>
          <w:u w:val="single"/>
          <w:shd w:val="clear" w:color="auto" w:fill="FFFFFF"/>
        </w:rPr>
        <w:t>15</w:t>
      </w:r>
      <w:r w:rsidR="00397448" w:rsidRPr="00397448">
        <w:rPr>
          <w:rFonts w:ascii="Arial" w:eastAsia="Calibri" w:hAnsi="Arial" w:cs="Arial"/>
          <w:b/>
          <w:i/>
          <w:color w:val="244061"/>
          <w:sz w:val="18"/>
          <w:szCs w:val="18"/>
          <w:u w:val="single"/>
          <w:shd w:val="clear" w:color="auto" w:fill="FFFFFF"/>
        </w:rPr>
        <w:t>.000 poslovnih subjekata iz više od 30 izvora.</w:t>
      </w:r>
      <w:r w:rsidR="00397448" w:rsidRPr="00397448">
        <w:rPr>
          <w:rFonts w:ascii="Arial" w:eastAsia="Calibri" w:hAnsi="Arial" w:cs="Arial"/>
          <w:i/>
          <w:color w:val="244061"/>
          <w:sz w:val="18"/>
          <w:szCs w:val="18"/>
          <w:u w:val="single"/>
          <w:shd w:val="clear" w:color="auto" w:fill="FFFFFF"/>
        </w:rPr>
        <w:t xml:space="preserve"> </w:t>
      </w:r>
      <w:r w:rsidR="00397448" w:rsidRPr="00397448">
        <w:rPr>
          <w:rFonts w:ascii="Arial" w:eastAsia="Calibri" w:hAnsi="Arial" w:cs="Arial"/>
          <w:i/>
          <w:color w:val="244061"/>
          <w:sz w:val="18"/>
          <w:szCs w:val="18"/>
          <w:shd w:val="clear" w:color="auto" w:fill="FFFFFF"/>
        </w:rPr>
        <w:t>Omogućuje brže, jednostavnije i sigurnije donošenje poslovnih odluka, sustavno praćenje klijenata, olakšava izradu poslovnih analiza te praćenje trendova i prepoznavanje potencijala na tržištu.</w:t>
      </w:r>
    </w:p>
    <w:p w:rsidR="00397448" w:rsidRPr="00397448" w:rsidRDefault="00397448" w:rsidP="007042BA">
      <w:pPr>
        <w:widowControl w:val="0"/>
        <w:tabs>
          <w:tab w:val="left" w:pos="343"/>
        </w:tabs>
        <w:spacing w:before="80" w:after="80"/>
        <w:jc w:val="left"/>
        <w:rPr>
          <w:rFonts w:ascii="Arial" w:eastAsia="Calibri" w:hAnsi="Arial" w:cs="Arial"/>
          <w:i/>
          <w:color w:val="244061"/>
          <w:sz w:val="18"/>
          <w:szCs w:val="18"/>
          <w:shd w:val="clear" w:color="auto" w:fill="FFFFFF"/>
        </w:rPr>
      </w:pPr>
      <w:r w:rsidRPr="00397448">
        <w:rPr>
          <w:rFonts w:ascii="Arial" w:eastAsia="Calibri" w:hAnsi="Arial" w:cs="Arial"/>
          <w:i/>
          <w:color w:val="244061"/>
          <w:sz w:val="18"/>
          <w:szCs w:val="18"/>
          <w:shd w:val="clear" w:color="auto" w:fill="D9D9D9"/>
        </w:rPr>
        <w:t>Ako ste zainteresirani i želite ugovoriti uslugu ili kupiti veći broj paketa</w:t>
      </w:r>
      <w:r w:rsidRPr="00397448">
        <w:rPr>
          <w:rFonts w:ascii="Arial" w:eastAsia="Calibri" w:hAnsi="Arial" w:cs="Arial"/>
          <w:i/>
          <w:color w:val="244061"/>
          <w:sz w:val="18"/>
          <w:szCs w:val="18"/>
          <w:shd w:val="clear" w:color="auto" w:fill="F5F6F8"/>
        </w:rPr>
        <w:t xml:space="preserve">: </w:t>
      </w:r>
      <w:hyperlink r:id="rId16" w:history="1">
        <w:r w:rsidRPr="00397448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prodaja@fina.hr</w:t>
        </w:r>
      </w:hyperlink>
      <w:r w:rsidRPr="00397448">
        <w:rPr>
          <w:rFonts w:ascii="Arial" w:eastAsia="Calibri" w:hAnsi="Arial" w:cs="Arial"/>
          <w:i/>
          <w:color w:val="007AFF"/>
          <w:sz w:val="18"/>
          <w:szCs w:val="18"/>
        </w:rPr>
        <w:t xml:space="preserve"> </w:t>
      </w:r>
    </w:p>
    <w:p w:rsidR="00397448" w:rsidRPr="00397448" w:rsidRDefault="00397448" w:rsidP="00397448">
      <w:pPr>
        <w:widowControl w:val="0"/>
        <w:tabs>
          <w:tab w:val="left" w:pos="343"/>
        </w:tabs>
        <w:spacing w:before="60"/>
        <w:jc w:val="left"/>
        <w:rPr>
          <w:rFonts w:ascii="Arial" w:eastAsia="Calibri" w:hAnsi="Arial" w:cs="Arial"/>
          <w:i/>
          <w:color w:val="244061"/>
          <w:sz w:val="18"/>
          <w:szCs w:val="18"/>
          <w:shd w:val="clear" w:color="auto" w:fill="FFFFFF"/>
        </w:rPr>
      </w:pPr>
      <w:r w:rsidRPr="00397448">
        <w:rPr>
          <w:rFonts w:ascii="Arial" w:eastAsia="Calibri" w:hAnsi="Arial" w:cs="Arial"/>
          <w:i/>
          <w:color w:val="244061"/>
          <w:sz w:val="18"/>
          <w:szCs w:val="18"/>
          <w:shd w:val="clear" w:color="auto" w:fill="D9D9D9"/>
        </w:rPr>
        <w:t>Ako trebate korisničku podršku</w:t>
      </w:r>
      <w:r w:rsidRPr="00397448">
        <w:rPr>
          <w:rFonts w:ascii="Arial" w:eastAsia="Calibri" w:hAnsi="Arial" w:cs="Arial"/>
          <w:i/>
          <w:color w:val="244061"/>
          <w:sz w:val="18"/>
          <w:szCs w:val="18"/>
          <w:shd w:val="clear" w:color="auto" w:fill="F5F6F8"/>
        </w:rPr>
        <w:t>: 0800 0080</w:t>
      </w:r>
      <w:r w:rsidRPr="00397448">
        <w:rPr>
          <w:rFonts w:ascii="Arial" w:eastAsia="Calibri" w:hAnsi="Arial" w:cs="Arial"/>
          <w:i/>
          <w:color w:val="33343A"/>
          <w:sz w:val="18"/>
          <w:szCs w:val="18"/>
          <w:shd w:val="clear" w:color="auto" w:fill="F5F6F8"/>
        </w:rPr>
        <w:t xml:space="preserve">, </w:t>
      </w:r>
      <w:hyperlink r:id="rId17" w:history="1">
        <w:r w:rsidRPr="00397448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info@fina.hr</w:t>
        </w:r>
      </w:hyperlink>
    </w:p>
    <w:p w:rsidR="004B052F" w:rsidRPr="0036250A" w:rsidRDefault="004B052F" w:rsidP="008B2178">
      <w:pPr>
        <w:tabs>
          <w:tab w:val="left" w:pos="851"/>
        </w:tabs>
        <w:spacing w:before="40" w:after="60" w:line="240" w:lineRule="auto"/>
        <w:rPr>
          <w:rFonts w:ascii="Arial" w:eastAsia="Times New Roman" w:hAnsi="Arial" w:cs="Arial"/>
          <w:bCs/>
          <w:color w:val="244061"/>
          <w:sz w:val="16"/>
          <w:szCs w:val="16"/>
          <w:lang w:eastAsia="hr-HR"/>
        </w:rPr>
      </w:pPr>
    </w:p>
    <w:sectPr w:rsidR="004B052F" w:rsidRPr="0036250A" w:rsidSect="00AF7FED">
      <w:headerReference w:type="default" r:id="rId18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4E" w:rsidRDefault="00572D4E" w:rsidP="008E7389">
      <w:pPr>
        <w:spacing w:line="240" w:lineRule="auto"/>
      </w:pPr>
      <w:r>
        <w:separator/>
      </w:r>
    </w:p>
  </w:endnote>
  <w:endnote w:type="continuationSeparator" w:id="0">
    <w:p w:rsidR="00572D4E" w:rsidRDefault="00572D4E" w:rsidP="008E7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4E" w:rsidRDefault="00572D4E" w:rsidP="008E7389">
      <w:pPr>
        <w:spacing w:line="240" w:lineRule="auto"/>
      </w:pPr>
      <w:r>
        <w:separator/>
      </w:r>
    </w:p>
  </w:footnote>
  <w:footnote w:type="continuationSeparator" w:id="0">
    <w:p w:rsidR="00572D4E" w:rsidRDefault="00572D4E" w:rsidP="008E7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54" w:rsidRDefault="00B60754">
    <w:pPr>
      <w:pStyle w:val="Zaglavlje"/>
    </w:pPr>
    <w:r w:rsidRPr="00535110">
      <w:rPr>
        <w:rFonts w:ascii="Arial" w:eastAsia="Times New Roman" w:hAnsi="Arial" w:cs="Arial"/>
        <w:b/>
        <w:bCs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25DC0521" wp14:editId="04BD8E5F">
          <wp:simplePos x="0" y="0"/>
          <wp:positionH relativeFrom="column">
            <wp:posOffset>-47625</wp:posOffset>
          </wp:positionH>
          <wp:positionV relativeFrom="paragraph">
            <wp:posOffset>-101600</wp:posOffset>
          </wp:positionV>
          <wp:extent cx="1266432" cy="252000"/>
          <wp:effectExtent l="0" t="0" r="0" b="0"/>
          <wp:wrapNone/>
          <wp:docPr id="1" name="Picture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 - novi zna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432" cy="25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32AA"/>
    <w:multiLevelType w:val="hybridMultilevel"/>
    <w:tmpl w:val="5EF20530"/>
    <w:lvl w:ilvl="0" w:tplc="947A954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D0473"/>
    <w:multiLevelType w:val="hybridMultilevel"/>
    <w:tmpl w:val="A8400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B46CF"/>
    <w:multiLevelType w:val="hybridMultilevel"/>
    <w:tmpl w:val="5A5CF3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A77BEF"/>
    <w:multiLevelType w:val="hybridMultilevel"/>
    <w:tmpl w:val="9FE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047D8"/>
    <w:rsid w:val="000058AC"/>
    <w:rsid w:val="00011A77"/>
    <w:rsid w:val="00016736"/>
    <w:rsid w:val="00016EFF"/>
    <w:rsid w:val="00030194"/>
    <w:rsid w:val="000302D3"/>
    <w:rsid w:val="00030402"/>
    <w:rsid w:val="000361B0"/>
    <w:rsid w:val="00037956"/>
    <w:rsid w:val="00040141"/>
    <w:rsid w:val="000462BD"/>
    <w:rsid w:val="000548B9"/>
    <w:rsid w:val="0005552F"/>
    <w:rsid w:val="000572FB"/>
    <w:rsid w:val="00057EE3"/>
    <w:rsid w:val="000640EA"/>
    <w:rsid w:val="00064B47"/>
    <w:rsid w:val="0008164B"/>
    <w:rsid w:val="00092794"/>
    <w:rsid w:val="00094EB6"/>
    <w:rsid w:val="000A64D4"/>
    <w:rsid w:val="000A6E95"/>
    <w:rsid w:val="000B0A45"/>
    <w:rsid w:val="000B4C88"/>
    <w:rsid w:val="000B542D"/>
    <w:rsid w:val="000C06B5"/>
    <w:rsid w:val="000C616F"/>
    <w:rsid w:val="000E7FBB"/>
    <w:rsid w:val="000F1BAB"/>
    <w:rsid w:val="000F3063"/>
    <w:rsid w:val="000F372C"/>
    <w:rsid w:val="000F574D"/>
    <w:rsid w:val="00101702"/>
    <w:rsid w:val="00121FDB"/>
    <w:rsid w:val="00122711"/>
    <w:rsid w:val="00133E40"/>
    <w:rsid w:val="00150667"/>
    <w:rsid w:val="0015427A"/>
    <w:rsid w:val="00161628"/>
    <w:rsid w:val="00167096"/>
    <w:rsid w:val="00170CB5"/>
    <w:rsid w:val="00171A96"/>
    <w:rsid w:val="00173251"/>
    <w:rsid w:val="001819DF"/>
    <w:rsid w:val="00184AC9"/>
    <w:rsid w:val="00186221"/>
    <w:rsid w:val="00191033"/>
    <w:rsid w:val="00194338"/>
    <w:rsid w:val="001A07AD"/>
    <w:rsid w:val="001A0E98"/>
    <w:rsid w:val="001A2CD8"/>
    <w:rsid w:val="001A504D"/>
    <w:rsid w:val="001B06B1"/>
    <w:rsid w:val="001B7344"/>
    <w:rsid w:val="001C2315"/>
    <w:rsid w:val="001C26B5"/>
    <w:rsid w:val="001C5C07"/>
    <w:rsid w:val="001C702B"/>
    <w:rsid w:val="001C7875"/>
    <w:rsid w:val="001D11AA"/>
    <w:rsid w:val="001D4EFA"/>
    <w:rsid w:val="001E0BFD"/>
    <w:rsid w:val="001F397A"/>
    <w:rsid w:val="001F4F7D"/>
    <w:rsid w:val="001F5C5D"/>
    <w:rsid w:val="00206967"/>
    <w:rsid w:val="00210B9D"/>
    <w:rsid w:val="002115C9"/>
    <w:rsid w:val="0022023A"/>
    <w:rsid w:val="0022207D"/>
    <w:rsid w:val="002237CA"/>
    <w:rsid w:val="00226B84"/>
    <w:rsid w:val="00231B0F"/>
    <w:rsid w:val="00231D78"/>
    <w:rsid w:val="002337A7"/>
    <w:rsid w:val="002344B1"/>
    <w:rsid w:val="002366DF"/>
    <w:rsid w:val="00236EBA"/>
    <w:rsid w:val="00240114"/>
    <w:rsid w:val="00257C82"/>
    <w:rsid w:val="00270DBA"/>
    <w:rsid w:val="002717A4"/>
    <w:rsid w:val="0027247E"/>
    <w:rsid w:val="0027335A"/>
    <w:rsid w:val="00276D16"/>
    <w:rsid w:val="00277E5C"/>
    <w:rsid w:val="002801BF"/>
    <w:rsid w:val="00280ACC"/>
    <w:rsid w:val="002943D4"/>
    <w:rsid w:val="00297F1F"/>
    <w:rsid w:val="002A5F37"/>
    <w:rsid w:val="002A6644"/>
    <w:rsid w:val="002A7F6A"/>
    <w:rsid w:val="002B61B2"/>
    <w:rsid w:val="002B7407"/>
    <w:rsid w:val="002C14A2"/>
    <w:rsid w:val="002C1A0F"/>
    <w:rsid w:val="002C4349"/>
    <w:rsid w:val="002C4E15"/>
    <w:rsid w:val="002C5069"/>
    <w:rsid w:val="002C7C98"/>
    <w:rsid w:val="002D1267"/>
    <w:rsid w:val="002D365A"/>
    <w:rsid w:val="002D5023"/>
    <w:rsid w:val="002E3127"/>
    <w:rsid w:val="002E54D4"/>
    <w:rsid w:val="002E5A0D"/>
    <w:rsid w:val="002F7FEC"/>
    <w:rsid w:val="00304E0F"/>
    <w:rsid w:val="003143E7"/>
    <w:rsid w:val="003146C4"/>
    <w:rsid w:val="003158C2"/>
    <w:rsid w:val="003254DB"/>
    <w:rsid w:val="00332822"/>
    <w:rsid w:val="003346E2"/>
    <w:rsid w:val="003417F5"/>
    <w:rsid w:val="00347477"/>
    <w:rsid w:val="00356C1E"/>
    <w:rsid w:val="0036105B"/>
    <w:rsid w:val="0036250A"/>
    <w:rsid w:val="00364A39"/>
    <w:rsid w:val="00365237"/>
    <w:rsid w:val="00371B92"/>
    <w:rsid w:val="00371D94"/>
    <w:rsid w:val="00381CD8"/>
    <w:rsid w:val="00397448"/>
    <w:rsid w:val="003A0D05"/>
    <w:rsid w:val="003A2F4A"/>
    <w:rsid w:val="003A63CB"/>
    <w:rsid w:val="003B1080"/>
    <w:rsid w:val="003B2E41"/>
    <w:rsid w:val="003C0074"/>
    <w:rsid w:val="003C0DAD"/>
    <w:rsid w:val="003C116E"/>
    <w:rsid w:val="003C56EE"/>
    <w:rsid w:val="003C7B43"/>
    <w:rsid w:val="003E0760"/>
    <w:rsid w:val="003E0C7B"/>
    <w:rsid w:val="003E1E2D"/>
    <w:rsid w:val="003E6B2B"/>
    <w:rsid w:val="003F12ED"/>
    <w:rsid w:val="003F22EA"/>
    <w:rsid w:val="003F24CA"/>
    <w:rsid w:val="003F5A63"/>
    <w:rsid w:val="003F5E1D"/>
    <w:rsid w:val="00405AB6"/>
    <w:rsid w:val="0043500D"/>
    <w:rsid w:val="0044036A"/>
    <w:rsid w:val="0044373B"/>
    <w:rsid w:val="004438D0"/>
    <w:rsid w:val="00450F8D"/>
    <w:rsid w:val="0045137F"/>
    <w:rsid w:val="00457189"/>
    <w:rsid w:val="00460C81"/>
    <w:rsid w:val="00462AAB"/>
    <w:rsid w:val="00466FEA"/>
    <w:rsid w:val="00474866"/>
    <w:rsid w:val="004762F8"/>
    <w:rsid w:val="00476AC7"/>
    <w:rsid w:val="004946AC"/>
    <w:rsid w:val="0049565E"/>
    <w:rsid w:val="004A3BC2"/>
    <w:rsid w:val="004A6B7B"/>
    <w:rsid w:val="004B052F"/>
    <w:rsid w:val="004B3D2D"/>
    <w:rsid w:val="004B4526"/>
    <w:rsid w:val="004B75C2"/>
    <w:rsid w:val="004C0114"/>
    <w:rsid w:val="004D07C8"/>
    <w:rsid w:val="004D1B8F"/>
    <w:rsid w:val="004D5790"/>
    <w:rsid w:val="004D645E"/>
    <w:rsid w:val="004E4E56"/>
    <w:rsid w:val="004E5A5F"/>
    <w:rsid w:val="004F0620"/>
    <w:rsid w:val="004F0B60"/>
    <w:rsid w:val="004F1E96"/>
    <w:rsid w:val="004F3241"/>
    <w:rsid w:val="004F3E69"/>
    <w:rsid w:val="004F7B3C"/>
    <w:rsid w:val="00500206"/>
    <w:rsid w:val="005011EE"/>
    <w:rsid w:val="00501589"/>
    <w:rsid w:val="00504110"/>
    <w:rsid w:val="00507BD2"/>
    <w:rsid w:val="00516A88"/>
    <w:rsid w:val="00520B2C"/>
    <w:rsid w:val="00522D47"/>
    <w:rsid w:val="00524A0E"/>
    <w:rsid w:val="0053222C"/>
    <w:rsid w:val="00534C49"/>
    <w:rsid w:val="00535110"/>
    <w:rsid w:val="0054276D"/>
    <w:rsid w:val="00547F42"/>
    <w:rsid w:val="00550E5A"/>
    <w:rsid w:val="005517C3"/>
    <w:rsid w:val="0055252F"/>
    <w:rsid w:val="00562EF0"/>
    <w:rsid w:val="00563E1B"/>
    <w:rsid w:val="00566B9B"/>
    <w:rsid w:val="00572D4E"/>
    <w:rsid w:val="005749A0"/>
    <w:rsid w:val="005878C0"/>
    <w:rsid w:val="00590701"/>
    <w:rsid w:val="005921E5"/>
    <w:rsid w:val="00594D96"/>
    <w:rsid w:val="00595541"/>
    <w:rsid w:val="005A7EAC"/>
    <w:rsid w:val="005B277E"/>
    <w:rsid w:val="005B5F8A"/>
    <w:rsid w:val="005B7A1B"/>
    <w:rsid w:val="005C5B3E"/>
    <w:rsid w:val="005C79B7"/>
    <w:rsid w:val="005D6CBD"/>
    <w:rsid w:val="005E3043"/>
    <w:rsid w:val="005E4016"/>
    <w:rsid w:val="005E650F"/>
    <w:rsid w:val="005F06D8"/>
    <w:rsid w:val="006055FC"/>
    <w:rsid w:val="00605FAB"/>
    <w:rsid w:val="00610B35"/>
    <w:rsid w:val="00614E6C"/>
    <w:rsid w:val="00621066"/>
    <w:rsid w:val="006230F3"/>
    <w:rsid w:val="00632811"/>
    <w:rsid w:val="00634BA9"/>
    <w:rsid w:val="00642887"/>
    <w:rsid w:val="006433B7"/>
    <w:rsid w:val="006442A7"/>
    <w:rsid w:val="00644766"/>
    <w:rsid w:val="006565CC"/>
    <w:rsid w:val="006600AF"/>
    <w:rsid w:val="00662ED4"/>
    <w:rsid w:val="006647CD"/>
    <w:rsid w:val="00666461"/>
    <w:rsid w:val="00666C06"/>
    <w:rsid w:val="0067210A"/>
    <w:rsid w:val="006759BA"/>
    <w:rsid w:val="0067724C"/>
    <w:rsid w:val="0068339A"/>
    <w:rsid w:val="00692A76"/>
    <w:rsid w:val="00696359"/>
    <w:rsid w:val="00697AC6"/>
    <w:rsid w:val="006A09EC"/>
    <w:rsid w:val="006A1B14"/>
    <w:rsid w:val="006A6053"/>
    <w:rsid w:val="006A66BE"/>
    <w:rsid w:val="006B3891"/>
    <w:rsid w:val="006B7BFE"/>
    <w:rsid w:val="006C2C83"/>
    <w:rsid w:val="006C58DD"/>
    <w:rsid w:val="006C5A8F"/>
    <w:rsid w:val="006E412B"/>
    <w:rsid w:val="006E4949"/>
    <w:rsid w:val="006F5893"/>
    <w:rsid w:val="006F5B84"/>
    <w:rsid w:val="0070082F"/>
    <w:rsid w:val="007042BA"/>
    <w:rsid w:val="00705A46"/>
    <w:rsid w:val="007109A2"/>
    <w:rsid w:val="0071296C"/>
    <w:rsid w:val="00713E71"/>
    <w:rsid w:val="00714EC2"/>
    <w:rsid w:val="00722DB7"/>
    <w:rsid w:val="00722DDF"/>
    <w:rsid w:val="00726A94"/>
    <w:rsid w:val="00730D84"/>
    <w:rsid w:val="00730F34"/>
    <w:rsid w:val="00733A0F"/>
    <w:rsid w:val="00733BC1"/>
    <w:rsid w:val="00733BCB"/>
    <w:rsid w:val="00734138"/>
    <w:rsid w:val="0073455B"/>
    <w:rsid w:val="007409F9"/>
    <w:rsid w:val="00745289"/>
    <w:rsid w:val="007509EF"/>
    <w:rsid w:val="007534A2"/>
    <w:rsid w:val="00756AD1"/>
    <w:rsid w:val="007575DE"/>
    <w:rsid w:val="0076480E"/>
    <w:rsid w:val="00765899"/>
    <w:rsid w:val="00776313"/>
    <w:rsid w:val="00777040"/>
    <w:rsid w:val="007775A4"/>
    <w:rsid w:val="00784B3E"/>
    <w:rsid w:val="00787F53"/>
    <w:rsid w:val="00791C43"/>
    <w:rsid w:val="00793E44"/>
    <w:rsid w:val="00794E7E"/>
    <w:rsid w:val="00796202"/>
    <w:rsid w:val="007A08C5"/>
    <w:rsid w:val="007A1907"/>
    <w:rsid w:val="007A2586"/>
    <w:rsid w:val="007A4C95"/>
    <w:rsid w:val="007B47C4"/>
    <w:rsid w:val="007B5A7C"/>
    <w:rsid w:val="007C0DC0"/>
    <w:rsid w:val="007C257E"/>
    <w:rsid w:val="007D1C33"/>
    <w:rsid w:val="007F341C"/>
    <w:rsid w:val="00802CBD"/>
    <w:rsid w:val="00803199"/>
    <w:rsid w:val="008036BC"/>
    <w:rsid w:val="00817174"/>
    <w:rsid w:val="00825E55"/>
    <w:rsid w:val="0082687C"/>
    <w:rsid w:val="00826EEE"/>
    <w:rsid w:val="00832BB5"/>
    <w:rsid w:val="00834262"/>
    <w:rsid w:val="00843B61"/>
    <w:rsid w:val="00845A6B"/>
    <w:rsid w:val="008508A9"/>
    <w:rsid w:val="008518D1"/>
    <w:rsid w:val="00856294"/>
    <w:rsid w:val="0086258B"/>
    <w:rsid w:val="008656FA"/>
    <w:rsid w:val="00866604"/>
    <w:rsid w:val="008666DE"/>
    <w:rsid w:val="008701A1"/>
    <w:rsid w:val="00870E38"/>
    <w:rsid w:val="0088216E"/>
    <w:rsid w:val="008851FB"/>
    <w:rsid w:val="008961D6"/>
    <w:rsid w:val="008A0BFC"/>
    <w:rsid w:val="008A15B9"/>
    <w:rsid w:val="008A578D"/>
    <w:rsid w:val="008B2178"/>
    <w:rsid w:val="008B303F"/>
    <w:rsid w:val="008C48D5"/>
    <w:rsid w:val="008C684D"/>
    <w:rsid w:val="008D0FF2"/>
    <w:rsid w:val="008D117D"/>
    <w:rsid w:val="008D6D8A"/>
    <w:rsid w:val="008D770A"/>
    <w:rsid w:val="008E0380"/>
    <w:rsid w:val="008E7389"/>
    <w:rsid w:val="008F1597"/>
    <w:rsid w:val="008F29FB"/>
    <w:rsid w:val="008F2B0F"/>
    <w:rsid w:val="008F5FDF"/>
    <w:rsid w:val="008F7D26"/>
    <w:rsid w:val="009016C0"/>
    <w:rsid w:val="00901842"/>
    <w:rsid w:val="00903174"/>
    <w:rsid w:val="009145F4"/>
    <w:rsid w:val="009424DB"/>
    <w:rsid w:val="00943319"/>
    <w:rsid w:val="0094711D"/>
    <w:rsid w:val="00955051"/>
    <w:rsid w:val="0095700D"/>
    <w:rsid w:val="00957686"/>
    <w:rsid w:val="009650A2"/>
    <w:rsid w:val="0097058D"/>
    <w:rsid w:val="00973EB5"/>
    <w:rsid w:val="009747B8"/>
    <w:rsid w:val="00975724"/>
    <w:rsid w:val="0097604C"/>
    <w:rsid w:val="00980D60"/>
    <w:rsid w:val="00985F50"/>
    <w:rsid w:val="0098648A"/>
    <w:rsid w:val="009919F0"/>
    <w:rsid w:val="00995B51"/>
    <w:rsid w:val="009A2A45"/>
    <w:rsid w:val="009A52F3"/>
    <w:rsid w:val="009B0123"/>
    <w:rsid w:val="009B3928"/>
    <w:rsid w:val="009B523A"/>
    <w:rsid w:val="009B5760"/>
    <w:rsid w:val="009B5F6D"/>
    <w:rsid w:val="009C2997"/>
    <w:rsid w:val="009C2ABA"/>
    <w:rsid w:val="009C3BE9"/>
    <w:rsid w:val="009C43F8"/>
    <w:rsid w:val="009C5161"/>
    <w:rsid w:val="009D6668"/>
    <w:rsid w:val="009E151E"/>
    <w:rsid w:val="009E1B7E"/>
    <w:rsid w:val="009E7B11"/>
    <w:rsid w:val="009F3F8E"/>
    <w:rsid w:val="009F40A5"/>
    <w:rsid w:val="009F4FD2"/>
    <w:rsid w:val="00A04EB3"/>
    <w:rsid w:val="00A11C89"/>
    <w:rsid w:val="00A12A0C"/>
    <w:rsid w:val="00A13501"/>
    <w:rsid w:val="00A14886"/>
    <w:rsid w:val="00A24E14"/>
    <w:rsid w:val="00A25EA3"/>
    <w:rsid w:val="00A27142"/>
    <w:rsid w:val="00A324E2"/>
    <w:rsid w:val="00A41886"/>
    <w:rsid w:val="00A418FB"/>
    <w:rsid w:val="00A41BEE"/>
    <w:rsid w:val="00A4269B"/>
    <w:rsid w:val="00A464D9"/>
    <w:rsid w:val="00A564B1"/>
    <w:rsid w:val="00A67E6B"/>
    <w:rsid w:val="00A7336D"/>
    <w:rsid w:val="00A75250"/>
    <w:rsid w:val="00A752AD"/>
    <w:rsid w:val="00A76038"/>
    <w:rsid w:val="00A76B45"/>
    <w:rsid w:val="00A77255"/>
    <w:rsid w:val="00A80E07"/>
    <w:rsid w:val="00A87A11"/>
    <w:rsid w:val="00A9337D"/>
    <w:rsid w:val="00A95E07"/>
    <w:rsid w:val="00A97843"/>
    <w:rsid w:val="00A97F2C"/>
    <w:rsid w:val="00AA5A11"/>
    <w:rsid w:val="00AA6EA9"/>
    <w:rsid w:val="00AC0C41"/>
    <w:rsid w:val="00AC556C"/>
    <w:rsid w:val="00AC5BBF"/>
    <w:rsid w:val="00AD0A58"/>
    <w:rsid w:val="00AD6724"/>
    <w:rsid w:val="00AD73A1"/>
    <w:rsid w:val="00AF1872"/>
    <w:rsid w:val="00AF25D6"/>
    <w:rsid w:val="00AF4250"/>
    <w:rsid w:val="00AF7FED"/>
    <w:rsid w:val="00B03B3E"/>
    <w:rsid w:val="00B03F94"/>
    <w:rsid w:val="00B06C91"/>
    <w:rsid w:val="00B1000A"/>
    <w:rsid w:val="00B13F44"/>
    <w:rsid w:val="00B205FA"/>
    <w:rsid w:val="00B21639"/>
    <w:rsid w:val="00B35405"/>
    <w:rsid w:val="00B360B1"/>
    <w:rsid w:val="00B36E13"/>
    <w:rsid w:val="00B45CB1"/>
    <w:rsid w:val="00B46F76"/>
    <w:rsid w:val="00B542BE"/>
    <w:rsid w:val="00B60754"/>
    <w:rsid w:val="00B618F2"/>
    <w:rsid w:val="00B6352C"/>
    <w:rsid w:val="00B63A2E"/>
    <w:rsid w:val="00B63F3E"/>
    <w:rsid w:val="00B70525"/>
    <w:rsid w:val="00B73FE8"/>
    <w:rsid w:val="00B775E4"/>
    <w:rsid w:val="00B80BBC"/>
    <w:rsid w:val="00B815B8"/>
    <w:rsid w:val="00B85F33"/>
    <w:rsid w:val="00B936E5"/>
    <w:rsid w:val="00B949D6"/>
    <w:rsid w:val="00BA4EBD"/>
    <w:rsid w:val="00BA5704"/>
    <w:rsid w:val="00BB01AD"/>
    <w:rsid w:val="00BB0C96"/>
    <w:rsid w:val="00BB1286"/>
    <w:rsid w:val="00BC3C6F"/>
    <w:rsid w:val="00BC4C5B"/>
    <w:rsid w:val="00BD7E78"/>
    <w:rsid w:val="00BE3A9E"/>
    <w:rsid w:val="00BE7EDD"/>
    <w:rsid w:val="00BF41C3"/>
    <w:rsid w:val="00BF6698"/>
    <w:rsid w:val="00BF6B3C"/>
    <w:rsid w:val="00C00582"/>
    <w:rsid w:val="00C01D28"/>
    <w:rsid w:val="00C0423D"/>
    <w:rsid w:val="00C20C7C"/>
    <w:rsid w:val="00C22FA0"/>
    <w:rsid w:val="00C2581F"/>
    <w:rsid w:val="00C341A3"/>
    <w:rsid w:val="00C343B3"/>
    <w:rsid w:val="00C36051"/>
    <w:rsid w:val="00C414EB"/>
    <w:rsid w:val="00C47ED8"/>
    <w:rsid w:val="00C512B7"/>
    <w:rsid w:val="00C61BD2"/>
    <w:rsid w:val="00C64B54"/>
    <w:rsid w:val="00C658D7"/>
    <w:rsid w:val="00C71FAC"/>
    <w:rsid w:val="00C72367"/>
    <w:rsid w:val="00C7600C"/>
    <w:rsid w:val="00C8090C"/>
    <w:rsid w:val="00C8410D"/>
    <w:rsid w:val="00C86B36"/>
    <w:rsid w:val="00C9249B"/>
    <w:rsid w:val="00C93AF1"/>
    <w:rsid w:val="00C9515F"/>
    <w:rsid w:val="00CA0061"/>
    <w:rsid w:val="00CA02C9"/>
    <w:rsid w:val="00CA41A4"/>
    <w:rsid w:val="00CA6B63"/>
    <w:rsid w:val="00CA7E4D"/>
    <w:rsid w:val="00CB4F88"/>
    <w:rsid w:val="00CB58EF"/>
    <w:rsid w:val="00CC1261"/>
    <w:rsid w:val="00CC42B5"/>
    <w:rsid w:val="00CD2323"/>
    <w:rsid w:val="00CD4893"/>
    <w:rsid w:val="00CE3DCC"/>
    <w:rsid w:val="00CE4FEA"/>
    <w:rsid w:val="00D00696"/>
    <w:rsid w:val="00D04DB8"/>
    <w:rsid w:val="00D068E0"/>
    <w:rsid w:val="00D15013"/>
    <w:rsid w:val="00D1505F"/>
    <w:rsid w:val="00D265AD"/>
    <w:rsid w:val="00D31187"/>
    <w:rsid w:val="00D31C77"/>
    <w:rsid w:val="00D33655"/>
    <w:rsid w:val="00D434E1"/>
    <w:rsid w:val="00D449FE"/>
    <w:rsid w:val="00D44D64"/>
    <w:rsid w:val="00D459C2"/>
    <w:rsid w:val="00D56B4D"/>
    <w:rsid w:val="00D56D20"/>
    <w:rsid w:val="00D5764C"/>
    <w:rsid w:val="00D6522B"/>
    <w:rsid w:val="00D707EC"/>
    <w:rsid w:val="00D72752"/>
    <w:rsid w:val="00D75086"/>
    <w:rsid w:val="00D8182D"/>
    <w:rsid w:val="00D81B09"/>
    <w:rsid w:val="00D827B9"/>
    <w:rsid w:val="00D85202"/>
    <w:rsid w:val="00D856E0"/>
    <w:rsid w:val="00D90104"/>
    <w:rsid w:val="00D90DF9"/>
    <w:rsid w:val="00D94284"/>
    <w:rsid w:val="00D9617A"/>
    <w:rsid w:val="00D96B4F"/>
    <w:rsid w:val="00DA3538"/>
    <w:rsid w:val="00DA543F"/>
    <w:rsid w:val="00DB0F39"/>
    <w:rsid w:val="00DB2DC8"/>
    <w:rsid w:val="00DC483C"/>
    <w:rsid w:val="00DC620D"/>
    <w:rsid w:val="00DD20EB"/>
    <w:rsid w:val="00DD2F4B"/>
    <w:rsid w:val="00DD6AA5"/>
    <w:rsid w:val="00DD7687"/>
    <w:rsid w:val="00DF2058"/>
    <w:rsid w:val="00DF24EC"/>
    <w:rsid w:val="00DF560D"/>
    <w:rsid w:val="00E01F8C"/>
    <w:rsid w:val="00E04F01"/>
    <w:rsid w:val="00E12702"/>
    <w:rsid w:val="00E127AC"/>
    <w:rsid w:val="00E134A9"/>
    <w:rsid w:val="00E158C3"/>
    <w:rsid w:val="00E15B01"/>
    <w:rsid w:val="00E1622B"/>
    <w:rsid w:val="00E16330"/>
    <w:rsid w:val="00E2050D"/>
    <w:rsid w:val="00E40562"/>
    <w:rsid w:val="00E4129D"/>
    <w:rsid w:val="00E414DB"/>
    <w:rsid w:val="00E43BDD"/>
    <w:rsid w:val="00E61FA8"/>
    <w:rsid w:val="00E620FE"/>
    <w:rsid w:val="00E6539B"/>
    <w:rsid w:val="00E80499"/>
    <w:rsid w:val="00E8501D"/>
    <w:rsid w:val="00E90C98"/>
    <w:rsid w:val="00E97B84"/>
    <w:rsid w:val="00EA377B"/>
    <w:rsid w:val="00EA64AC"/>
    <w:rsid w:val="00EA7EA6"/>
    <w:rsid w:val="00EB0B4F"/>
    <w:rsid w:val="00EB45B1"/>
    <w:rsid w:val="00EC2C22"/>
    <w:rsid w:val="00ED4633"/>
    <w:rsid w:val="00EE1F33"/>
    <w:rsid w:val="00EF015B"/>
    <w:rsid w:val="00EF145F"/>
    <w:rsid w:val="00F001B3"/>
    <w:rsid w:val="00F02407"/>
    <w:rsid w:val="00F1170E"/>
    <w:rsid w:val="00F12CC0"/>
    <w:rsid w:val="00F230F0"/>
    <w:rsid w:val="00F23C14"/>
    <w:rsid w:val="00F24499"/>
    <w:rsid w:val="00F25CD1"/>
    <w:rsid w:val="00F3105C"/>
    <w:rsid w:val="00F3715D"/>
    <w:rsid w:val="00F44AA0"/>
    <w:rsid w:val="00F53B9E"/>
    <w:rsid w:val="00F56A6D"/>
    <w:rsid w:val="00F62232"/>
    <w:rsid w:val="00F67D8E"/>
    <w:rsid w:val="00F72860"/>
    <w:rsid w:val="00F864A1"/>
    <w:rsid w:val="00F95CF3"/>
    <w:rsid w:val="00F96C08"/>
    <w:rsid w:val="00FB6399"/>
    <w:rsid w:val="00FC48D9"/>
    <w:rsid w:val="00FC728C"/>
    <w:rsid w:val="00FD12D7"/>
    <w:rsid w:val="00FD2A59"/>
    <w:rsid w:val="00FD3DCC"/>
    <w:rsid w:val="00FD66D3"/>
    <w:rsid w:val="00FE5484"/>
    <w:rsid w:val="00FF3A3F"/>
    <w:rsid w:val="00FF490E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styleId="Istaknuto">
    <w:name w:val="Emphasis"/>
    <w:basedOn w:val="Zadanifontodlomka"/>
    <w:uiPriority w:val="20"/>
    <w:qFormat/>
    <w:rsid w:val="00D31187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53511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5110"/>
  </w:style>
  <w:style w:type="paragraph" w:styleId="Podnoje">
    <w:name w:val="footer"/>
    <w:basedOn w:val="Normal"/>
    <w:link w:val="PodnojeChar"/>
    <w:uiPriority w:val="99"/>
    <w:unhideWhenUsed/>
    <w:rsid w:val="0053511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5110"/>
  </w:style>
  <w:style w:type="paragraph" w:styleId="Odlomakpopisa">
    <w:name w:val="List Paragraph"/>
    <w:basedOn w:val="Normal"/>
    <w:uiPriority w:val="34"/>
    <w:qFormat/>
    <w:rsid w:val="0019103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418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styleId="Istaknuto">
    <w:name w:val="Emphasis"/>
    <w:basedOn w:val="Zadanifontodlomka"/>
    <w:uiPriority w:val="20"/>
    <w:qFormat/>
    <w:rsid w:val="00D31187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53511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5110"/>
  </w:style>
  <w:style w:type="paragraph" w:styleId="Podnoje">
    <w:name w:val="footer"/>
    <w:basedOn w:val="Normal"/>
    <w:link w:val="PodnojeChar"/>
    <w:uiPriority w:val="99"/>
    <w:unhideWhenUsed/>
    <w:rsid w:val="0053511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5110"/>
  </w:style>
  <w:style w:type="paragraph" w:styleId="Odlomakpopisa">
    <w:name w:val="List Paragraph"/>
    <w:basedOn w:val="Normal"/>
    <w:uiPriority w:val="34"/>
    <w:qFormat/>
    <w:rsid w:val="0019103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418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ina.hr/info.biz" TargetMode="External"/><Relationship Id="rId17" Type="http://schemas.openxmlformats.org/officeDocument/2006/relationships/hyperlink" Target="mailto:info@fina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daja@fina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fina.hr/info.biz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CB75-57FE-46C8-A911-D50A0A19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1695</Words>
  <Characters>9663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cp:lastPrinted>2015-09-11T12:33:00Z</cp:lastPrinted>
  <dcterms:created xsi:type="dcterms:W3CDTF">2020-11-25T10:19:00Z</dcterms:created>
  <dcterms:modified xsi:type="dcterms:W3CDTF">2020-11-25T10:19:00Z</dcterms:modified>
</cp:coreProperties>
</file>