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2F74A5" w:rsidRDefault="002F74A5" w:rsidP="00F3759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  <w:sz w:val="21"/>
          <w:szCs w:val="21"/>
        </w:rPr>
      </w:pPr>
      <w:r w:rsidRPr="002F74A5">
        <w:rPr>
          <w:rFonts w:ascii="Arial" w:hAnsi="Arial" w:cs="Arial"/>
          <w:b/>
          <w:color w:val="244061" w:themeColor="accent1" w:themeShade="80"/>
          <w:sz w:val="21"/>
          <w:szCs w:val="21"/>
        </w:rPr>
        <w:t>NA PODRUČJU VUP ZADAR 2/3 PODUZETNIKA I ZAPOSLENIH ZADARSKE ŽUPANIJE</w:t>
      </w:r>
    </w:p>
    <w:p w:rsidR="00F3759C" w:rsidRDefault="002F74A5" w:rsidP="00E91E7B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Velikim u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>rban</w:t>
      </w:r>
      <w:r w:rsidR="00905837">
        <w:rPr>
          <w:rFonts w:ascii="Arial" w:hAnsi="Arial" w:cs="Arial"/>
          <w:color w:val="244061" w:themeColor="accent1" w:themeShade="80"/>
          <w:sz w:val="20"/>
          <w:szCs w:val="20"/>
        </w:rPr>
        <w:t>im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područje</w:t>
      </w:r>
      <w:r w:rsidR="00905837">
        <w:rPr>
          <w:rFonts w:ascii="Arial" w:hAnsi="Arial" w:cs="Arial"/>
          <w:color w:val="244061" w:themeColor="accent1" w:themeShade="80"/>
          <w:sz w:val="20"/>
          <w:szCs w:val="20"/>
        </w:rPr>
        <w:t>m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Zadar</w:t>
      </w:r>
      <w:r w:rsidR="0090583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obuhvaćeno </w:t>
      </w:r>
      <w:r w:rsidR="00905837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F3759C" w:rsidRPr="00C910F9">
        <w:rPr>
          <w:rFonts w:ascii="Arial" w:hAnsi="Arial" w:cs="Arial"/>
          <w:b/>
          <w:color w:val="244061" w:themeColor="accent1" w:themeShade="80"/>
          <w:sz w:val="20"/>
          <w:szCs w:val="20"/>
        </w:rPr>
        <w:t>13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3759C" w:rsidRPr="00101C69">
        <w:rPr>
          <w:rFonts w:ascii="Arial" w:hAnsi="Arial" w:cs="Arial"/>
          <w:b/>
          <w:color w:val="244061" w:themeColor="accent1" w:themeShade="80"/>
          <w:sz w:val="20"/>
          <w:szCs w:val="20"/>
        </w:rPr>
        <w:t>općina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>Zadarske županije: Bibinje, Galovac, Kali, Kukljica, Novigrad, Poličnik, Posedarje, Preko, Ražanac, Sukošan, Škabrnj</w:t>
      </w:r>
      <w:r w:rsidR="002E353B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, Vrsi, Zemunik Donji te </w:t>
      </w:r>
      <w:r w:rsidR="00C910F9" w:rsidRPr="00F10F22">
        <w:rPr>
          <w:rFonts w:ascii="Arial" w:hAnsi="Arial" w:cs="Arial"/>
          <w:b/>
          <w:color w:val="244061" w:themeColor="accent1" w:themeShade="80"/>
          <w:sz w:val="20"/>
          <w:szCs w:val="20"/>
        </w:rPr>
        <w:t>dva</w:t>
      </w:r>
      <w:r w:rsidR="00C910F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3759C" w:rsidRPr="00101C69">
        <w:rPr>
          <w:rFonts w:ascii="Arial" w:hAnsi="Arial" w:cs="Arial"/>
          <w:b/>
          <w:color w:val="244061" w:themeColor="accent1" w:themeShade="80"/>
          <w:sz w:val="20"/>
          <w:szCs w:val="20"/>
        </w:rPr>
        <w:t>grad</w:t>
      </w:r>
      <w:r w:rsidR="00C910F9">
        <w:rPr>
          <w:rFonts w:ascii="Arial" w:hAnsi="Arial" w:cs="Arial"/>
          <w:b/>
          <w:color w:val="244061" w:themeColor="accent1" w:themeShade="80"/>
          <w:sz w:val="20"/>
          <w:szCs w:val="20"/>
        </w:rPr>
        <w:t>a,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 Zadar i </w:t>
      </w:r>
      <w:r w:rsidR="00F3759C" w:rsidRPr="00F3759C">
        <w:rPr>
          <w:rFonts w:ascii="Arial" w:hAnsi="Arial" w:cs="Arial"/>
          <w:color w:val="244061" w:themeColor="accent1" w:themeShade="80"/>
          <w:sz w:val="20"/>
          <w:szCs w:val="20"/>
        </w:rPr>
        <w:t>Nin</w:t>
      </w:r>
      <w:r w:rsidR="00F3759C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C910F9">
        <w:rPr>
          <w:rFonts w:ascii="Arial" w:hAnsi="Arial" w:cs="Arial"/>
          <w:color w:val="244061" w:themeColor="accent1" w:themeShade="80"/>
          <w:sz w:val="20"/>
          <w:szCs w:val="20"/>
        </w:rPr>
        <w:t xml:space="preserve">u kojima </w:t>
      </w:r>
      <w:r w:rsidR="00905837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F369FE" w:rsidRPr="00F369FE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2A53CA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F369FE" w:rsidRPr="00F369FE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bilo </w:t>
      </w:r>
      <w:r w:rsidR="00905837">
        <w:rPr>
          <w:rFonts w:ascii="Arial" w:hAnsi="Arial" w:cs="Arial"/>
          <w:color w:val="244061" w:themeColor="accent1" w:themeShade="80"/>
          <w:sz w:val="20"/>
          <w:szCs w:val="20"/>
        </w:rPr>
        <w:t xml:space="preserve">sjedište </w:t>
      </w:r>
      <w:r w:rsidR="000654C3" w:rsidRPr="000654C3">
        <w:rPr>
          <w:rFonts w:ascii="Arial" w:hAnsi="Arial" w:cs="Arial"/>
          <w:color w:val="244061" w:themeColor="accent1" w:themeShade="80"/>
          <w:sz w:val="20"/>
          <w:szCs w:val="20"/>
        </w:rPr>
        <w:t>3210</w:t>
      </w:r>
      <w:r w:rsidR="00F369FE" w:rsidRPr="0028355D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</w:t>
      </w:r>
      <w:r w:rsidR="00CF5A62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910F9" w:rsidRPr="00C910F9">
        <w:t xml:space="preserve"> </w:t>
      </w:r>
      <w:r w:rsidR="00C910F9" w:rsidRPr="00C910F9">
        <w:rPr>
          <w:rFonts w:ascii="Arial" w:hAnsi="Arial" w:cs="Arial"/>
          <w:color w:val="244061" w:themeColor="accent1" w:themeShade="80"/>
          <w:sz w:val="20"/>
          <w:szCs w:val="20"/>
        </w:rPr>
        <w:t>Riječ je o poduzetnicima koji su sastavili i u Registar godišnjih financijskih izvještaja podnijeli točan i potpun godišnji financijski izvještaj za 201</w:t>
      </w:r>
      <w:r w:rsidR="002A53CA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C910F9" w:rsidRPr="00C910F9">
        <w:rPr>
          <w:rFonts w:ascii="Arial" w:hAnsi="Arial" w:cs="Arial"/>
          <w:color w:val="244061" w:themeColor="accent1" w:themeShade="80"/>
          <w:sz w:val="20"/>
          <w:szCs w:val="20"/>
        </w:rPr>
        <w:t>. godinu.</w:t>
      </w:r>
    </w:p>
    <w:p w:rsidR="001B2274" w:rsidRPr="001B2274" w:rsidRDefault="001B2274" w:rsidP="007F530A">
      <w:pPr>
        <w:tabs>
          <w:tab w:val="left" w:pos="567"/>
          <w:tab w:val="left" w:pos="1134"/>
        </w:tabs>
        <w:spacing w:before="180" w:after="0" w:line="240" w:lineRule="auto"/>
        <w:jc w:val="both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>Shema 1.</w:t>
      </w:r>
      <w:r w:rsidR="004F10EE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>Veliko urbano područj</w:t>
      </w:r>
      <w:r w:rsidR="007F530A">
        <w:rPr>
          <w:rFonts w:ascii="Arial" w:hAnsi="Arial" w:cs="Arial"/>
          <w:b/>
          <w:color w:val="244061" w:themeColor="accent1" w:themeShade="80"/>
          <w:sz w:val="18"/>
          <w:szCs w:val="18"/>
        </w:rPr>
        <w:t>e</w:t>
      </w: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Zad</w:t>
      </w:r>
      <w:r w:rsidR="0041351E">
        <w:rPr>
          <w:rFonts w:ascii="Arial" w:hAnsi="Arial" w:cs="Arial"/>
          <w:b/>
          <w:color w:val="244061" w:themeColor="accent1" w:themeShade="80"/>
          <w:sz w:val="18"/>
          <w:szCs w:val="18"/>
        </w:rPr>
        <w:t>a</w:t>
      </w: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>r</w:t>
      </w:r>
    </w:p>
    <w:tbl>
      <w:tblPr>
        <w:tblStyle w:val="Reetkatablice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F3759C" w:rsidTr="008363CD">
        <w:trPr>
          <w:trHeight w:val="3154"/>
        </w:trPr>
        <w:tc>
          <w:tcPr>
            <w:tcW w:w="5529" w:type="dxa"/>
          </w:tcPr>
          <w:p w:rsidR="00F3759C" w:rsidRPr="00743414" w:rsidRDefault="00F3759C" w:rsidP="008363CD">
            <w:pPr>
              <w:jc w:val="center"/>
              <w:rPr>
                <w:rFonts w:ascii="Arial" w:eastAsia="Times New Roman" w:hAnsi="Arial" w:cs="Arial"/>
                <w:noProof/>
                <w:color w:val="0000FF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noProof/>
                <w:color w:val="244061" w:themeColor="accent1" w:themeShade="80"/>
                <w:sz w:val="20"/>
                <w:szCs w:val="20"/>
                <w:lang w:eastAsia="hr-HR"/>
              </w:rPr>
              <w:drawing>
                <wp:inline distT="0" distB="0" distL="0" distR="0" wp14:anchorId="312702FD" wp14:editId="40AA77AE">
                  <wp:extent cx="3276000" cy="1980000"/>
                  <wp:effectExtent l="0" t="0" r="635" b="1270"/>
                  <wp:docPr id="6" name="Slika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989"/>
                          <a:stretch/>
                        </pic:blipFill>
                        <pic:spPr bwMode="auto">
                          <a:xfrm>
                            <a:off x="0" y="0"/>
                            <a:ext cx="3276000" cy="19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C910F9" w:rsidRPr="000654C3" w:rsidRDefault="00F369FE" w:rsidP="00C910F9">
            <w:pPr>
              <w:tabs>
                <w:tab w:val="left" w:pos="567"/>
              </w:tabs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F10F2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navedenoga broja, najviše je poduzetnika </w:t>
            </w:r>
            <w:r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s</w:t>
            </w:r>
            <w:r w:rsidR="0074480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a sjedištem u </w:t>
            </w:r>
            <w:r w:rsidR="007F530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Z</w:t>
            </w:r>
            <w:r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adr</w:t>
            </w:r>
            <w:r w:rsidR="0074480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</w:t>
            </w:r>
            <w:r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(</w:t>
            </w:r>
            <w:proofErr w:type="spellStart"/>
            <w:r w:rsidR="000654C3"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2512</w:t>
            </w:r>
            <w:proofErr w:type="spellEnd"/>
            <w:r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), a najmanj</w:t>
            </w:r>
            <w:r w:rsidR="0074480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e poduzetnika ima sjedište u </w:t>
            </w:r>
            <w:r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općini Galovac (</w:t>
            </w:r>
            <w:r w:rsidR="000654C3"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</w:t>
            </w:r>
            <w:r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). Kod </w:t>
            </w:r>
            <w:r w:rsidR="000654C3"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3210</w:t>
            </w:r>
            <w:r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 bilo je </w:t>
            </w:r>
            <w:r w:rsidR="006425C6"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</w:t>
            </w:r>
            <w:r w:rsidR="000654C3"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</w:t>
            </w:r>
            <w:r w:rsidR="00312459"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="000654C3"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964</w:t>
            </w:r>
            <w:r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zaposlenih, što je prosječno 5,</w:t>
            </w:r>
            <w:r w:rsidR="006425C6"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</w:t>
            </w:r>
            <w:r w:rsidR="002F74A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 po poduzetniku.</w:t>
            </w:r>
          </w:p>
          <w:p w:rsidR="00F3759C" w:rsidRPr="00466FEA" w:rsidRDefault="00F369FE" w:rsidP="000654C3">
            <w:pPr>
              <w:tabs>
                <w:tab w:val="left" w:pos="567"/>
              </w:tabs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Poduzetnici sa sjedištem na </w:t>
            </w:r>
            <w:r w:rsidR="002F74A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Velikom </w:t>
            </w:r>
            <w:r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urbanom području Zadar, ostvarili su ukupan prihod u iznosu od </w:t>
            </w:r>
            <w:r w:rsidR="000654C3"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10,3</w:t>
            </w:r>
            <w:r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milijard</w:t>
            </w:r>
            <w:r w:rsidR="000654C3"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e</w:t>
            </w:r>
            <w:r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kuna te ukupne rashode u iznosu od 9,</w:t>
            </w:r>
            <w:r w:rsidR="000654C3"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8</w:t>
            </w:r>
            <w:r w:rsidRPr="000654C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milijardi kuna.</w:t>
            </w:r>
          </w:p>
        </w:tc>
      </w:tr>
    </w:tbl>
    <w:p w:rsidR="00E357AF" w:rsidRPr="006425C6" w:rsidRDefault="006F78FA" w:rsidP="008363CD">
      <w:pPr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2A53CA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 godini o</w:t>
      </w:r>
      <w:r w:rsidR="00F369FE" w:rsidRPr="006425C6">
        <w:rPr>
          <w:rFonts w:ascii="Arial" w:hAnsi="Arial" w:cs="Arial"/>
          <w:color w:val="244061" w:themeColor="accent1" w:themeShade="80"/>
          <w:sz w:val="20"/>
          <w:szCs w:val="20"/>
        </w:rPr>
        <w:t xml:space="preserve">stvaren je </w:t>
      </w:r>
      <w:r w:rsidR="005A2FB9" w:rsidRPr="000654C3">
        <w:rPr>
          <w:rFonts w:ascii="Arial" w:hAnsi="Arial" w:cs="Arial"/>
          <w:color w:val="244061" w:themeColor="accent1" w:themeShade="80"/>
          <w:sz w:val="20"/>
          <w:szCs w:val="20"/>
        </w:rPr>
        <w:t>pozitivan</w:t>
      </w:r>
      <w:r w:rsidR="0084384B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 konsolidirani financijski rezultat </w:t>
      </w:r>
      <w:r w:rsidR="00DA2A99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u iznosu od </w:t>
      </w:r>
      <w:r w:rsidR="000654C3" w:rsidRPr="000654C3">
        <w:rPr>
          <w:rFonts w:ascii="Arial" w:hAnsi="Arial" w:cs="Arial"/>
          <w:color w:val="244061" w:themeColor="accent1" w:themeShade="80"/>
          <w:sz w:val="20"/>
          <w:szCs w:val="20"/>
        </w:rPr>
        <w:t>425,2</w:t>
      </w:r>
      <w:r w:rsidR="0084384B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</w:t>
      </w:r>
      <w:r w:rsidR="00DA2A99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25C6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što je za </w:t>
      </w:r>
      <w:r w:rsidR="000654C3" w:rsidRPr="00083A41">
        <w:rPr>
          <w:rFonts w:ascii="Arial" w:hAnsi="Arial" w:cs="Arial"/>
          <w:color w:val="244061" w:themeColor="accent1" w:themeShade="80"/>
          <w:sz w:val="20"/>
          <w:szCs w:val="20"/>
        </w:rPr>
        <w:t>29,7</w:t>
      </w:r>
      <w:r w:rsidR="006425C6" w:rsidRPr="00083A4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083A41" w:rsidRPr="00083A41">
        <w:rPr>
          <w:rFonts w:ascii="Arial" w:hAnsi="Arial" w:cs="Arial"/>
          <w:color w:val="244061" w:themeColor="accent1" w:themeShade="80"/>
          <w:sz w:val="20"/>
          <w:szCs w:val="20"/>
        </w:rPr>
        <w:t>%</w:t>
      </w:r>
      <w:r w:rsidR="006425C6" w:rsidRPr="00083A41">
        <w:rPr>
          <w:rFonts w:ascii="Arial" w:hAnsi="Arial" w:cs="Arial"/>
          <w:color w:val="244061" w:themeColor="accent1" w:themeShade="80"/>
          <w:sz w:val="20"/>
          <w:szCs w:val="20"/>
        </w:rPr>
        <w:t xml:space="preserve"> više</w:t>
      </w:r>
      <w:r w:rsidR="006425C6" w:rsidRPr="00083A41">
        <w:rPr>
          <w:rFonts w:ascii="Arial" w:hAnsi="Arial" w:cs="Arial"/>
          <w:color w:val="FF0000"/>
          <w:sz w:val="20"/>
          <w:szCs w:val="20"/>
        </w:rPr>
        <w:t xml:space="preserve"> </w:t>
      </w:r>
      <w:r w:rsidR="006425C6" w:rsidRPr="000654C3">
        <w:rPr>
          <w:rFonts w:ascii="Arial" w:hAnsi="Arial" w:cs="Arial"/>
          <w:color w:val="244061" w:themeColor="accent1" w:themeShade="80"/>
          <w:sz w:val="20"/>
          <w:szCs w:val="20"/>
        </w:rPr>
        <w:t>u odnosu na prethodno razdoblje (</w:t>
      </w:r>
      <w:r w:rsidR="000654C3" w:rsidRPr="000654C3">
        <w:rPr>
          <w:rFonts w:ascii="Arial" w:hAnsi="Arial" w:cs="Arial"/>
          <w:color w:val="244061" w:themeColor="accent1" w:themeShade="80"/>
          <w:sz w:val="20"/>
          <w:szCs w:val="20"/>
        </w:rPr>
        <w:t>327,9</w:t>
      </w:r>
      <w:r w:rsidR="006425C6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kuna)</w:t>
      </w:r>
      <w:r w:rsidR="0084384B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5A2FB9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Najveći pozitivan konsolidirani financijski rezultat iskazali su poduzetnici grada Zadra </w:t>
      </w:r>
      <w:r w:rsidR="00DA2A99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u iznosu od </w:t>
      </w:r>
      <w:r w:rsidR="000654C3" w:rsidRPr="000654C3">
        <w:rPr>
          <w:rFonts w:ascii="Arial" w:hAnsi="Arial" w:cs="Arial"/>
          <w:color w:val="244061" w:themeColor="accent1" w:themeShade="80"/>
          <w:sz w:val="20"/>
          <w:szCs w:val="20"/>
        </w:rPr>
        <w:t>358,9</w:t>
      </w:r>
      <w:r w:rsidR="005A2FB9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</w:t>
      </w:r>
      <w:r w:rsidR="0084384B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DA2A99" w:rsidRPr="000654C3">
        <w:rPr>
          <w:rFonts w:ascii="Arial" w:hAnsi="Arial" w:cs="Arial"/>
          <w:color w:val="244061" w:themeColor="accent1" w:themeShade="80"/>
          <w:sz w:val="20"/>
          <w:szCs w:val="20"/>
        </w:rPr>
        <w:t>Slijede poduzetnici općin</w:t>
      </w:r>
      <w:r w:rsidR="000C3EF1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A2A99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0654C3" w:rsidRPr="000654C3">
        <w:rPr>
          <w:rFonts w:ascii="Arial" w:hAnsi="Arial" w:cs="Arial"/>
          <w:color w:val="244061" w:themeColor="accent1" w:themeShade="80"/>
          <w:sz w:val="20"/>
          <w:szCs w:val="20"/>
        </w:rPr>
        <w:t>Poličnik</w:t>
      </w:r>
      <w:r w:rsidR="00DA2A99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0654C3" w:rsidRPr="000654C3">
        <w:rPr>
          <w:rFonts w:ascii="Arial" w:hAnsi="Arial" w:cs="Arial"/>
          <w:color w:val="244061" w:themeColor="accent1" w:themeShade="80"/>
          <w:sz w:val="20"/>
          <w:szCs w:val="20"/>
        </w:rPr>
        <w:t>16,4</w:t>
      </w:r>
      <w:r w:rsidR="000C3EF1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kuna) i </w:t>
      </w:r>
      <w:r w:rsidR="000654C3" w:rsidRPr="000654C3">
        <w:rPr>
          <w:rFonts w:ascii="Arial" w:hAnsi="Arial" w:cs="Arial"/>
          <w:color w:val="244061" w:themeColor="accent1" w:themeShade="80"/>
          <w:sz w:val="20"/>
          <w:szCs w:val="20"/>
        </w:rPr>
        <w:t>Sukošan</w:t>
      </w:r>
      <w:r w:rsidR="00DA2A99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0654C3" w:rsidRPr="000654C3">
        <w:rPr>
          <w:rFonts w:ascii="Arial" w:hAnsi="Arial" w:cs="Arial"/>
          <w:color w:val="244061" w:themeColor="accent1" w:themeShade="80"/>
          <w:sz w:val="20"/>
          <w:szCs w:val="20"/>
        </w:rPr>
        <w:t>9,9</w:t>
      </w:r>
      <w:r w:rsidR="00DA2A99" w:rsidRPr="000654C3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kuna).</w:t>
      </w:r>
      <w:r w:rsidR="00F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F2D18" w:rsidRPr="00802049">
        <w:rPr>
          <w:rFonts w:ascii="Arial" w:hAnsi="Arial" w:cs="Arial"/>
          <w:color w:val="244061" w:themeColor="accent1" w:themeShade="80"/>
          <w:sz w:val="20"/>
          <w:szCs w:val="20"/>
        </w:rPr>
        <w:t>Najznačajniji rast</w:t>
      </w:r>
      <w:r w:rsidR="00F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ostvaril</w:t>
      </w:r>
      <w:r w:rsidR="00802049">
        <w:rPr>
          <w:rFonts w:ascii="Arial" w:hAnsi="Arial" w:cs="Arial"/>
          <w:color w:val="244061" w:themeColor="accent1" w:themeShade="80"/>
          <w:sz w:val="20"/>
          <w:szCs w:val="20"/>
        </w:rPr>
        <w:t xml:space="preserve">i su poduzetnici sa sjedištem u </w:t>
      </w:r>
      <w:r w:rsidR="00FF2D18">
        <w:rPr>
          <w:rFonts w:ascii="Arial" w:hAnsi="Arial" w:cs="Arial"/>
          <w:color w:val="244061" w:themeColor="accent1" w:themeShade="80"/>
          <w:sz w:val="20"/>
          <w:szCs w:val="20"/>
        </w:rPr>
        <w:t>Sukošan</w:t>
      </w:r>
      <w:r w:rsidR="00802049">
        <w:rPr>
          <w:rFonts w:ascii="Arial" w:hAnsi="Arial" w:cs="Arial"/>
          <w:color w:val="244061" w:themeColor="accent1" w:themeShade="80"/>
          <w:sz w:val="20"/>
          <w:szCs w:val="20"/>
        </w:rPr>
        <w:t>u,</w:t>
      </w:r>
      <w:r w:rsidR="00F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koj</w:t>
      </w:r>
      <w:r w:rsidR="00802049">
        <w:rPr>
          <w:rFonts w:ascii="Arial" w:hAnsi="Arial" w:cs="Arial"/>
          <w:color w:val="244061" w:themeColor="accent1" w:themeShade="80"/>
          <w:sz w:val="20"/>
          <w:szCs w:val="20"/>
        </w:rPr>
        <w:t xml:space="preserve">i su u 2017. ostvarili </w:t>
      </w:r>
      <w:r w:rsidR="00FF2D18">
        <w:rPr>
          <w:rFonts w:ascii="Arial" w:hAnsi="Arial" w:cs="Arial"/>
          <w:color w:val="244061" w:themeColor="accent1" w:themeShade="80"/>
          <w:sz w:val="20"/>
          <w:szCs w:val="20"/>
        </w:rPr>
        <w:t>9,9 milijuna kuna neto dobiti</w:t>
      </w:r>
      <w:r w:rsidR="00802049">
        <w:rPr>
          <w:rFonts w:ascii="Arial" w:hAnsi="Arial" w:cs="Arial"/>
          <w:color w:val="244061" w:themeColor="accent1" w:themeShade="80"/>
          <w:sz w:val="20"/>
          <w:szCs w:val="20"/>
        </w:rPr>
        <w:t>, u odnosu na neto gubitak u 2016. u iznosu od</w:t>
      </w:r>
      <w:r w:rsidR="00802049" w:rsidRPr="00802049">
        <w:rPr>
          <w:rFonts w:ascii="Arial" w:hAnsi="Arial" w:cs="Arial"/>
          <w:color w:val="244061" w:themeColor="accent1" w:themeShade="80"/>
          <w:sz w:val="20"/>
          <w:szCs w:val="20"/>
        </w:rPr>
        <w:t xml:space="preserve"> 2,2 milijuna kuna</w:t>
      </w:r>
      <w:r w:rsidR="00FF2D18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3C0074" w:rsidRPr="003C0074" w:rsidRDefault="003C0074" w:rsidP="00F369FE">
      <w:pPr>
        <w:widowControl w:val="0"/>
        <w:tabs>
          <w:tab w:val="left" w:pos="567"/>
        </w:tabs>
        <w:spacing w:before="180" w:after="6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9"/>
          <w:szCs w:val="19"/>
        </w:rPr>
      </w:pP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>Tablica 1.</w:t>
      </w:r>
      <w:r w:rsidRPr="001B2274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Osnovni financ</w:t>
      </w:r>
      <w:r w:rsidR="007F530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ijski</w:t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podaci poslovanja poduzetnika u gradovima i općinama </w:t>
      </w:r>
      <w:r w:rsidR="002F74A5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VUP Zadar</w:t>
      </w:r>
      <w:r w:rsidR="009E13D0"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E357AF"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 201</w:t>
      </w:r>
      <w:r w:rsidR="002A53C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7</w:t>
      </w:r>
      <w:r w:rsidRPr="001B227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</w:t>
      </w:r>
      <w:r w:rsidR="007F530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Pr="001B2274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="00C023D2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C023D2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C023D2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C023D2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C023D2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F369FE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2F74A5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2F74A5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="002F74A5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Pr="004946AC">
        <w:rPr>
          <w:rFonts w:ascii="Arial" w:eastAsia="Calibri" w:hAnsi="Arial" w:cs="Arial"/>
          <w:color w:val="17365D"/>
          <w:sz w:val="16"/>
          <w:szCs w:val="18"/>
        </w:rPr>
        <w:t>(iznosi u tisućama kuna</w:t>
      </w:r>
      <w:r>
        <w:rPr>
          <w:rFonts w:ascii="Arial" w:eastAsia="Calibri" w:hAnsi="Arial" w:cs="Arial"/>
          <w:color w:val="17365D"/>
          <w:sz w:val="16"/>
          <w:szCs w:val="18"/>
        </w:rPr>
        <w:t>)</w:t>
      </w:r>
    </w:p>
    <w:tbl>
      <w:tblPr>
        <w:tblW w:w="9639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2608"/>
        <w:gridCol w:w="1191"/>
        <w:gridCol w:w="1191"/>
        <w:gridCol w:w="1247"/>
        <w:gridCol w:w="1134"/>
        <w:gridCol w:w="1134"/>
        <w:gridCol w:w="1134"/>
      </w:tblGrid>
      <w:tr w:rsidR="003C0074" w:rsidRPr="00E91E7B" w:rsidTr="00802049">
        <w:trPr>
          <w:trHeight w:val="454"/>
          <w:jc w:val="center"/>
        </w:trPr>
        <w:tc>
          <w:tcPr>
            <w:tcW w:w="26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E91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grada/općine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E91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E91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2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E91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E91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E91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0074" w:rsidRPr="003C116E" w:rsidRDefault="003C0074" w:rsidP="00E91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Neto dobit</w:t>
            </w:r>
            <w:r w:rsidR="00C910F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/ gubitak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FF2D18" w:rsidRPr="000C3EF1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0C3EF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Nin/grad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63 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218 </w:t>
            </w:r>
          </w:p>
        </w:tc>
        <w:tc>
          <w:tcPr>
            <w:tcW w:w="1247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67.677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3.905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845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3.059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FF2D18" w:rsidRPr="000C3EF1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0C3EF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Zadar/grad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2.512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14.204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7.638.658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583.497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224.590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358.907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FF2D18" w:rsidRPr="00073618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Bibinje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63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246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95.275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7.226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1.298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5.927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FF2D18" w:rsidRPr="00073618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Galovac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197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FF2D18" w:rsidRPr="00073618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Kali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48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571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262.196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17.032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7.930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9.102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FF2D18" w:rsidRPr="00073618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Kukljica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23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98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20.269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1.200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FF2D18" w:rsidRPr="00073618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Novigrad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54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41.261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3.407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3.242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073618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Poličnik/općina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84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1.126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1.269.322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25.197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8.847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16.350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FF2D18" w:rsidRPr="00073618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Posedarje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44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143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105.214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3.386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3.206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FF2D18" w:rsidRPr="00073618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Preko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74.338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6.878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6.716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162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FF2D18" w:rsidRPr="00073618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Ražanac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37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74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31.621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1.271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3.370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802049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-2.098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FF2D18" w:rsidRPr="00073618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Sukošan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122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502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342.186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24.440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14.568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9.872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073618" w:rsidRDefault="00FF2D18" w:rsidP="0080204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Škabrnj</w:t>
            </w:r>
            <w:r w:rsidR="0080204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a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78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58.951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4.194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4.157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073618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Vrsi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120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125.992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4.165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3.806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nil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073618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736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Zemunik Donji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41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302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199.971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10.316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2.235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8.081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FF2D18" w:rsidRPr="004F7B3C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</w:t>
            </w:r>
            <w:r w:rsidR="002F74A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upno</w:t>
            </w: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</w:t>
            </w:r>
            <w:r w:rsidR="002F74A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od</w:t>
            </w:r>
            <w:r w:rsidR="007F530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uz</w:t>
            </w:r>
            <w:r w:rsidR="002F74A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. V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UP</w:t>
            </w:r>
            <w:r w:rsidR="002F74A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Z</w:t>
            </w:r>
            <w:r w:rsidR="002F74A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adar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3.210 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17.964 </w:t>
            </w:r>
          </w:p>
        </w:tc>
        <w:tc>
          <w:tcPr>
            <w:tcW w:w="12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10.333.725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696.766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271.596 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425.170 </w:t>
            </w:r>
          </w:p>
        </w:tc>
      </w:tr>
      <w:tr w:rsidR="00FF2D18" w:rsidRPr="00E91E7B" w:rsidTr="008363CD">
        <w:trPr>
          <w:trHeight w:val="272"/>
          <w:jc w:val="center"/>
        </w:trPr>
        <w:tc>
          <w:tcPr>
            <w:tcW w:w="26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FF2D18" w:rsidRPr="004F7B3C" w:rsidRDefault="00FF2D18" w:rsidP="00E91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</w:t>
            </w:r>
            <w:r w:rsidR="002F74A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upno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svi poduzetnici ZŽ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F2D18" w:rsidRPr="00177C71" w:rsidRDefault="00177C71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177C7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4.273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F2D18" w:rsidRPr="00FF2D18" w:rsidRDefault="00FF2D18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FF2D18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2</w:t>
            </w:r>
            <w:r w:rsidR="00177C7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3</w:t>
            </w:r>
            <w:r w:rsidRPr="00FF2D18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.</w:t>
            </w:r>
            <w:r w:rsidR="00177C7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534</w:t>
            </w:r>
            <w:r w:rsidRPr="00FF2D18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F2D18" w:rsidRPr="00177C71" w:rsidRDefault="00177C71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177C7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13.752.195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F2D18" w:rsidRPr="00177C71" w:rsidRDefault="00177C71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177C7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1.018.057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F2D18" w:rsidRPr="00177C71" w:rsidRDefault="00177C71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177C7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337.264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F2D18" w:rsidRPr="00177C71" w:rsidRDefault="00177C71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177C7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680.792</w:t>
            </w:r>
          </w:p>
        </w:tc>
      </w:tr>
      <w:tr w:rsidR="00C910F9" w:rsidRPr="00E91E7B" w:rsidTr="00BD2880">
        <w:trPr>
          <w:trHeight w:val="283"/>
          <w:jc w:val="center"/>
        </w:trPr>
        <w:tc>
          <w:tcPr>
            <w:tcW w:w="26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C910F9" w:rsidRPr="00BD2880" w:rsidRDefault="00C910F9" w:rsidP="00E91E7B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BD288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Udio pod</w:t>
            </w:r>
            <w:r w:rsidR="007F530A" w:rsidRPr="00BD288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uz</w:t>
            </w:r>
            <w:r w:rsidR="002F74A5" w:rsidRPr="00BD288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.</w:t>
            </w:r>
            <w:r w:rsidRPr="00BD288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 xml:space="preserve"> </w:t>
            </w:r>
            <w:r w:rsidR="002F74A5" w:rsidRPr="00BD288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V</w:t>
            </w:r>
            <w:r w:rsidRPr="00BD288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UP</w:t>
            </w:r>
            <w:r w:rsidR="002F74A5" w:rsidRPr="00BD288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 xml:space="preserve"> </w:t>
            </w:r>
            <w:r w:rsidRPr="00BD288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Z</w:t>
            </w:r>
            <w:r w:rsidR="002F74A5" w:rsidRPr="00BD2880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adar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BD2880" w:rsidRDefault="00177C71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D288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75,1</w:t>
            </w:r>
            <w:r w:rsidR="00BD2880" w:rsidRPr="00BD288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BD2880" w:rsidRDefault="00177C71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D288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76,3</w:t>
            </w:r>
            <w:r w:rsidR="00BD2880" w:rsidRPr="00BD288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2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BD2880" w:rsidRDefault="00177C71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D288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75,1</w:t>
            </w:r>
            <w:r w:rsidR="00BD2880" w:rsidRPr="00BD288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BD2880" w:rsidRDefault="00177C71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D288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68,4</w:t>
            </w:r>
            <w:r w:rsidR="00BD2880" w:rsidRPr="00BD288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BD2880" w:rsidRDefault="00177C71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D288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80,5</w:t>
            </w:r>
            <w:r w:rsidR="00BD2880" w:rsidRPr="00BD288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910F9" w:rsidRPr="00BD2880" w:rsidRDefault="00177C71" w:rsidP="00E91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D288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62,5</w:t>
            </w:r>
            <w:r w:rsidR="00BD2880" w:rsidRPr="00BD288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%</w:t>
            </w:r>
          </w:p>
        </w:tc>
      </w:tr>
    </w:tbl>
    <w:p w:rsidR="003C0074" w:rsidRPr="004946AC" w:rsidRDefault="003C0074" w:rsidP="00C6338A">
      <w:pPr>
        <w:spacing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357A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2A53C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DB19AA" w:rsidRDefault="00C910F9" w:rsidP="008363CD">
      <w:pPr>
        <w:widowControl w:val="0"/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Od </w:t>
      </w:r>
      <w:r w:rsidR="00177C71" w:rsidRPr="00642E86">
        <w:rPr>
          <w:rFonts w:ascii="Arial" w:hAnsi="Arial" w:cs="Arial"/>
          <w:color w:val="244061" w:themeColor="accent1" w:themeShade="80"/>
          <w:sz w:val="20"/>
          <w:szCs w:val="20"/>
        </w:rPr>
        <w:t>4273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s područja Zadarske županije, njih </w:t>
      </w:r>
      <w:r w:rsidR="00177C71" w:rsidRPr="00642E86">
        <w:rPr>
          <w:rFonts w:ascii="Arial" w:hAnsi="Arial" w:cs="Arial"/>
          <w:color w:val="244061" w:themeColor="accent1" w:themeShade="80"/>
          <w:sz w:val="20"/>
          <w:szCs w:val="20"/>
        </w:rPr>
        <w:t>3210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23A9C">
        <w:rPr>
          <w:rFonts w:ascii="Arial" w:hAnsi="Arial" w:cs="Arial"/>
          <w:color w:val="244061" w:themeColor="accent1" w:themeShade="80"/>
          <w:sz w:val="20"/>
          <w:szCs w:val="20"/>
        </w:rPr>
        <w:t xml:space="preserve">ili čak 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75 % obuhvaćeno je </w:t>
      </w:r>
      <w:r w:rsidR="002F74A5">
        <w:rPr>
          <w:rFonts w:ascii="Arial" w:hAnsi="Arial" w:cs="Arial"/>
          <w:color w:val="244061" w:themeColor="accent1" w:themeShade="80"/>
          <w:sz w:val="20"/>
          <w:szCs w:val="20"/>
        </w:rPr>
        <w:t>Velikim u</w:t>
      </w:r>
      <w:r w:rsidR="0002298A" w:rsidRPr="00642E86">
        <w:rPr>
          <w:rFonts w:ascii="Arial" w:hAnsi="Arial" w:cs="Arial"/>
          <w:color w:val="244061" w:themeColor="accent1" w:themeShade="80"/>
          <w:sz w:val="20"/>
          <w:szCs w:val="20"/>
        </w:rPr>
        <w:t>rban</w:t>
      </w:r>
      <w:r w:rsidR="00223A9C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0318B8" w:rsidRPr="00642E86">
        <w:rPr>
          <w:rFonts w:ascii="Arial" w:hAnsi="Arial" w:cs="Arial"/>
          <w:color w:val="244061" w:themeColor="accent1" w:themeShade="80"/>
          <w:sz w:val="20"/>
          <w:szCs w:val="20"/>
        </w:rPr>
        <w:t>m</w:t>
      </w:r>
      <w:r w:rsidR="0002298A"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 područj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>em</w:t>
      </w:r>
      <w:r w:rsidR="0002298A"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 Zad</w:t>
      </w:r>
      <w:r w:rsidR="00F369FE" w:rsidRPr="00642E8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02298A" w:rsidRPr="00642E86">
        <w:rPr>
          <w:rFonts w:ascii="Arial" w:hAnsi="Arial" w:cs="Arial"/>
          <w:color w:val="244061" w:themeColor="accent1" w:themeShade="80"/>
          <w:sz w:val="20"/>
          <w:szCs w:val="20"/>
        </w:rPr>
        <w:t>r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E455CE"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>kod kojih je bilo 1</w:t>
      </w:r>
      <w:r w:rsidR="00177C71" w:rsidRPr="00642E86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> </w:t>
      </w:r>
      <w:r w:rsidR="00177C71" w:rsidRPr="00642E86">
        <w:rPr>
          <w:rFonts w:ascii="Arial" w:hAnsi="Arial" w:cs="Arial"/>
          <w:color w:val="244061" w:themeColor="accent1" w:themeShade="80"/>
          <w:sz w:val="20"/>
          <w:szCs w:val="20"/>
        </w:rPr>
        <w:t>964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zaposlenih (</w:t>
      </w:r>
      <w:r w:rsidR="00296F21" w:rsidRPr="00642E86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C11F95" w:rsidRPr="00642E86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296F21" w:rsidRPr="00642E86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177C71" w:rsidRPr="00642E86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C023D2"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455CE"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udio u ZŽ), </w:t>
      </w:r>
      <w:r w:rsidR="00E455CE"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ostvarili </w:t>
      </w:r>
      <w:r w:rsidR="000C3EF1">
        <w:rPr>
          <w:rFonts w:ascii="Arial" w:hAnsi="Arial" w:cs="Arial"/>
          <w:color w:val="244061" w:themeColor="accent1" w:themeShade="80"/>
          <w:sz w:val="20"/>
          <w:szCs w:val="20"/>
        </w:rPr>
        <w:t xml:space="preserve">su </w:t>
      </w:r>
      <w:r w:rsidR="00177C71" w:rsidRPr="00642E86">
        <w:rPr>
          <w:rFonts w:ascii="Arial" w:hAnsi="Arial" w:cs="Arial"/>
          <w:color w:val="244061" w:themeColor="accent1" w:themeShade="80"/>
          <w:sz w:val="20"/>
          <w:szCs w:val="20"/>
        </w:rPr>
        <w:t>10,3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177C71" w:rsidRPr="00642E86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 kuna ukupnih prihoda (</w:t>
      </w:r>
      <w:r w:rsidR="00177C71" w:rsidRPr="00642E86">
        <w:rPr>
          <w:rFonts w:ascii="Arial" w:hAnsi="Arial" w:cs="Arial"/>
          <w:color w:val="244061" w:themeColor="accent1" w:themeShade="80"/>
          <w:sz w:val="20"/>
          <w:szCs w:val="20"/>
        </w:rPr>
        <w:t>75,1</w:t>
      </w:r>
      <w:r w:rsidR="00C023D2"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455CE"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>udio u ZŽ) te 6</w:t>
      </w:r>
      <w:r w:rsidR="00177C71" w:rsidRPr="00642E86">
        <w:rPr>
          <w:rFonts w:ascii="Arial" w:hAnsi="Arial" w:cs="Arial"/>
          <w:color w:val="244061" w:themeColor="accent1" w:themeShade="80"/>
          <w:sz w:val="20"/>
          <w:szCs w:val="20"/>
        </w:rPr>
        <w:t>96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177C71" w:rsidRPr="00642E86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 dobiti razdoblja (</w:t>
      </w:r>
      <w:r w:rsidR="00177C71" w:rsidRPr="00642E86">
        <w:rPr>
          <w:rFonts w:ascii="Arial" w:hAnsi="Arial" w:cs="Arial"/>
          <w:color w:val="244061" w:themeColor="accent1" w:themeShade="80"/>
          <w:sz w:val="20"/>
          <w:szCs w:val="20"/>
        </w:rPr>
        <w:t>68,4</w:t>
      </w:r>
      <w:r w:rsidR="00C023D2"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455CE"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Pr="00642E86">
        <w:rPr>
          <w:rFonts w:ascii="Arial" w:hAnsi="Arial" w:cs="Arial"/>
          <w:color w:val="244061" w:themeColor="accent1" w:themeShade="80"/>
          <w:sz w:val="20"/>
          <w:szCs w:val="20"/>
        </w:rPr>
        <w:t xml:space="preserve">udio u ZŽ). </w:t>
      </w:r>
    </w:p>
    <w:p w:rsidR="00C910F9" w:rsidRPr="00802049" w:rsidRDefault="00C910F9" w:rsidP="008363CD">
      <w:pPr>
        <w:pageBreakBefore/>
        <w:tabs>
          <w:tab w:val="left" w:pos="1134"/>
        </w:tabs>
        <w:spacing w:after="40" w:line="240" w:lineRule="auto"/>
        <w:ind w:left="1134" w:hanging="1134"/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</w:pPr>
      <w:r w:rsidRPr="0080204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lastRenderedPageBreak/>
        <w:t>Grafikon 1.</w:t>
      </w:r>
      <w:r w:rsidRPr="0080204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  <w:t xml:space="preserve">Udio ukupnih prihoda i rashoda poduzetnika </w:t>
      </w:r>
      <w:r w:rsidR="00083A41" w:rsidRPr="0080204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VUP Zadar</w:t>
      </w:r>
      <w:r w:rsidRPr="0080204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ukupnim prihodima i rashodima poduzetnika </w:t>
      </w:r>
      <w:r w:rsidR="00083A41" w:rsidRPr="0080204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ZŽ</w:t>
      </w:r>
      <w:r w:rsidRPr="0080204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201</w:t>
      </w:r>
      <w:r w:rsidR="002A53CA" w:rsidRPr="0080204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7</w:t>
      </w:r>
      <w:r w:rsidRPr="0080204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</w:t>
      </w:r>
      <w:r w:rsidR="00E91E7B" w:rsidRPr="0080204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odini</w:t>
      </w:r>
    </w:p>
    <w:p w:rsidR="00C910F9" w:rsidRPr="0093312F" w:rsidRDefault="00F0267F" w:rsidP="00C910F9">
      <w:pPr>
        <w:tabs>
          <w:tab w:val="left" w:pos="1418"/>
        </w:tabs>
        <w:spacing w:after="0"/>
        <w:ind w:left="1418" w:hanging="1418"/>
        <w:jc w:val="center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>
        <w:rPr>
          <w:rFonts w:ascii="Arial" w:eastAsia="Calibri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764E220C">
            <wp:extent cx="6049670" cy="181416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644" cy="1819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10F9" w:rsidRDefault="00C910F9" w:rsidP="00C6338A">
      <w:pPr>
        <w:spacing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8A0950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, obrada GFI-a za 201</w:t>
      </w:r>
      <w:r w:rsidR="002A53C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  <w:r w:rsidRPr="008A0950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</w:p>
    <w:p w:rsidR="00C910F9" w:rsidRPr="001E063E" w:rsidRDefault="00C910F9" w:rsidP="001F4A3E">
      <w:pPr>
        <w:spacing w:before="240" w:after="0"/>
        <w:jc w:val="both"/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Na razini poduzetnika </w:t>
      </w:r>
      <w:r w:rsidR="002F74A5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Velikog u</w:t>
      </w:r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rbanog područja Zadar</w:t>
      </w:r>
      <w:r w:rsidR="00E91E7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,</w:t>
      </w:r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u 201</w:t>
      </w:r>
      <w:r w:rsidR="002A53C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7</w:t>
      </w:r>
      <w:r w:rsid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. godini najviš</w:t>
      </w:r>
      <w:r w:rsidR="000C3EF1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i </w:t>
      </w:r>
      <w:r w:rsidR="00E91E7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su </w:t>
      </w:r>
      <w:r w:rsidR="000C3EF1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ras</w:t>
      </w:r>
      <w:r w:rsidR="00E91E7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le</w:t>
      </w:r>
      <w:r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 w:rsidR="001E063E" w:rsidRP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bruto investicije u novu dugotrajnu imovinu</w:t>
      </w:r>
      <w:r w:rsidRP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(73,</w:t>
      </w:r>
      <w:r w:rsidR="001E063E" w:rsidRP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9</w:t>
      </w:r>
      <w:r w:rsidRP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%), </w:t>
      </w:r>
      <w:r w:rsidR="002F74A5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što </w:t>
      </w:r>
      <w:r w:rsidRP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je </w:t>
      </w:r>
      <w:r w:rsidR="000C3EF1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znatno </w:t>
      </w:r>
      <w:r w:rsidRP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utjecalo i na rast </w:t>
      </w:r>
      <w:r w:rsidR="001E063E" w:rsidRP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bruto investicija u novu dugotrajnu imovinu</w:t>
      </w:r>
      <w:r w:rsidRP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kod poduzetnika</w:t>
      </w:r>
      <w:r w:rsidR="00BC0016" w:rsidRP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 w:rsidRP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na razini Zadarske županije (</w:t>
      </w:r>
      <w:r w:rsidR="001E063E" w:rsidRP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64</w:t>
      </w:r>
      <w:r w:rsidRP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,</w:t>
      </w:r>
      <w:r w:rsidR="001E063E" w:rsidRP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2</w:t>
      </w:r>
      <w:r w:rsidRPr="001E063E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%).</w:t>
      </w:r>
    </w:p>
    <w:p w:rsidR="004946AC" w:rsidRPr="003C116E" w:rsidRDefault="004946AC" w:rsidP="001F4A3E">
      <w:pPr>
        <w:spacing w:before="240" w:after="6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F369FE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 w:rsidR="009E13D0" w:rsidRPr="00F369FE">
        <w:rPr>
          <w:rFonts w:ascii="Arial" w:eastAsia="Calibri" w:hAnsi="Arial" w:cs="Arial"/>
          <w:b/>
          <w:color w:val="17365D"/>
          <w:sz w:val="18"/>
          <w:szCs w:val="18"/>
        </w:rPr>
        <w:t>2</w:t>
      </w:r>
      <w:r w:rsidRPr="00F369FE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F369FE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podaci poslovanja poduzetnika na području </w:t>
      </w:r>
      <w:r w:rsidR="00563E04"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V</w:t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UP</w:t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poduzetnika </w:t>
      </w:r>
      <w:r w:rsidR="009E13D0"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Z</w:t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Ž</w:t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</w:t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2</w:t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01</w:t>
      </w:r>
      <w:r w:rsidR="002A53C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7</w:t>
      </w:r>
      <w:r w:rsidRPr="00F369F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="002F74A5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g.</w:t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083A4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F369FE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077"/>
        <w:gridCol w:w="1134"/>
        <w:gridCol w:w="737"/>
        <w:gridCol w:w="1134"/>
        <w:gridCol w:w="1134"/>
        <w:gridCol w:w="737"/>
      </w:tblGrid>
      <w:tr w:rsidR="00B205FA" w:rsidRPr="004946AC" w:rsidTr="001F4A3E">
        <w:trPr>
          <w:trHeight w:val="283"/>
          <w:jc w:val="center"/>
        </w:trPr>
        <w:tc>
          <w:tcPr>
            <w:tcW w:w="3685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000000" w:fill="003366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94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9E13D0" w:rsidP="009E13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Veliko urbano područje</w:t>
            </w:r>
            <w:r w:rsid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Zadr</w:t>
            </w:r>
            <w:r w:rsid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9E13D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Zadarska</w:t>
            </w:r>
            <w:r w:rsid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županija</w:t>
            </w:r>
          </w:p>
        </w:tc>
      </w:tr>
      <w:tr w:rsidR="00B205FA" w:rsidRPr="004946AC" w:rsidTr="001F4A3E">
        <w:trPr>
          <w:trHeight w:val="285"/>
          <w:jc w:val="center"/>
        </w:trPr>
        <w:tc>
          <w:tcPr>
            <w:tcW w:w="3685" w:type="dxa"/>
            <w:vMerge/>
            <w:tcBorders>
              <w:top w:val="single" w:sz="4" w:space="0" w:color="FFFFFF"/>
              <w:left w:val="nil"/>
              <w:bottom w:val="single" w:sz="2" w:space="0" w:color="FFFFFF" w:themeColor="background1"/>
              <w:right w:val="nil"/>
            </w:tcBorders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E357AF" w:rsidP="002A5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2A53C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="004946AC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E357AF" w:rsidP="002A5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2A53C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="004946AC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E357AF" w:rsidP="00101C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2A53C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="004946AC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E357AF" w:rsidP="002A5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2A53C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="004946AC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</w:tr>
      <w:tr w:rsidR="00D82B29" w:rsidRPr="004946AC" w:rsidTr="001F4A3E">
        <w:trPr>
          <w:trHeight w:val="285"/>
          <w:jc w:val="center"/>
        </w:trPr>
        <w:tc>
          <w:tcPr>
            <w:tcW w:w="36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D82B29" w:rsidRPr="007F530A" w:rsidRDefault="00D82B29" w:rsidP="001F4A3E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82B29" w:rsidRPr="00DE46DC" w:rsidRDefault="00D82B29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82B29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3.210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D82B29" w:rsidRPr="007F530A" w:rsidRDefault="00D82B29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D82B29" w:rsidRPr="007F530A" w:rsidRDefault="00D82B29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D82B29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4.273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D82B29" w:rsidRPr="00DB19AA" w:rsidRDefault="00D82B29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F0267F" w:rsidRPr="004946AC" w:rsidTr="001F4A3E">
        <w:trPr>
          <w:trHeight w:val="285"/>
          <w:jc w:val="center"/>
        </w:trPr>
        <w:tc>
          <w:tcPr>
            <w:tcW w:w="36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F0267F" w:rsidRPr="007F530A" w:rsidRDefault="00F0267F" w:rsidP="001F4A3E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F0267F" w:rsidRPr="007F530A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16.357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17.964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109,8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21.477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F0267F" w:rsidRPr="007F530A" w:rsidRDefault="001E063E" w:rsidP="00AF43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23.534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F0267F" w:rsidRPr="007F530A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109,6</w:t>
            </w:r>
          </w:p>
        </w:tc>
      </w:tr>
      <w:tr w:rsidR="00F0267F" w:rsidRPr="004946AC" w:rsidTr="001F4A3E">
        <w:trPr>
          <w:trHeight w:val="285"/>
          <w:jc w:val="center"/>
        </w:trPr>
        <w:tc>
          <w:tcPr>
            <w:tcW w:w="36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F0267F" w:rsidRPr="007F530A" w:rsidRDefault="00F0267F" w:rsidP="001F4A3E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F0267F" w:rsidRPr="007F530A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9.720.565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F0267F" w:rsidRPr="007F530A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10.333.725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106,3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12.688.645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13.752.195 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108,4</w:t>
            </w:r>
          </w:p>
        </w:tc>
      </w:tr>
      <w:tr w:rsidR="00F0267F" w:rsidRPr="004946AC" w:rsidTr="001F4A3E">
        <w:trPr>
          <w:trHeight w:val="285"/>
          <w:jc w:val="center"/>
        </w:trPr>
        <w:tc>
          <w:tcPr>
            <w:tcW w:w="36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F0267F" w:rsidRPr="007F530A" w:rsidRDefault="00F0267F" w:rsidP="001F4A3E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F0267F" w:rsidRPr="007F530A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9.324.467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F0267F" w:rsidRPr="007F530A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9.837.812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CE6F1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105,5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12.061.825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12.953.312 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EAEAEA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107,4</w:t>
            </w:r>
          </w:p>
        </w:tc>
      </w:tr>
      <w:tr w:rsidR="00F0267F" w:rsidRPr="004946AC" w:rsidTr="001F4A3E">
        <w:trPr>
          <w:trHeight w:val="285"/>
          <w:jc w:val="center"/>
        </w:trPr>
        <w:tc>
          <w:tcPr>
            <w:tcW w:w="3685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267F" w:rsidRPr="004F7B3C" w:rsidRDefault="00F0267F" w:rsidP="001F4A3E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750.366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766.990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102,2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1.039.948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1.135.417 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109,2</w:t>
            </w:r>
          </w:p>
        </w:tc>
      </w:tr>
      <w:tr w:rsidR="00F0267F" w:rsidRPr="004946AC" w:rsidTr="001F4A3E">
        <w:trPr>
          <w:trHeight w:val="285"/>
          <w:jc w:val="center"/>
        </w:trPr>
        <w:tc>
          <w:tcPr>
            <w:tcW w:w="36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267F" w:rsidRPr="004F7B3C" w:rsidRDefault="00F0267F" w:rsidP="001F4A3E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354.268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271.078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413.128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336.534 </w:t>
            </w:r>
          </w:p>
        </w:tc>
        <w:tc>
          <w:tcPr>
            <w:tcW w:w="7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81,5</w:t>
            </w:r>
          </w:p>
        </w:tc>
      </w:tr>
      <w:tr w:rsidR="00F0267F" w:rsidRPr="004946AC" w:rsidTr="001F4A3E">
        <w:trPr>
          <w:trHeight w:val="285"/>
          <w:jc w:val="center"/>
        </w:trPr>
        <w:tc>
          <w:tcPr>
            <w:tcW w:w="36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267F" w:rsidRPr="004F7B3C" w:rsidRDefault="00F0267F" w:rsidP="001F4A3E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682.676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696.766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940.597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1.018.057 </w:t>
            </w:r>
          </w:p>
        </w:tc>
        <w:tc>
          <w:tcPr>
            <w:tcW w:w="7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108,2</w:t>
            </w:r>
          </w:p>
        </w:tc>
      </w:tr>
      <w:tr w:rsidR="00F0267F" w:rsidRPr="004946AC" w:rsidTr="001F4A3E">
        <w:trPr>
          <w:trHeight w:val="285"/>
          <w:jc w:val="center"/>
        </w:trPr>
        <w:tc>
          <w:tcPr>
            <w:tcW w:w="36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267F" w:rsidRPr="004F7B3C" w:rsidRDefault="00F0267F" w:rsidP="001F4A3E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354.794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271.596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413.985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337.264 </w:t>
            </w:r>
          </w:p>
        </w:tc>
        <w:tc>
          <w:tcPr>
            <w:tcW w:w="7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81,5</w:t>
            </w:r>
          </w:p>
        </w:tc>
      </w:tr>
      <w:tr w:rsidR="00F0267F" w:rsidRPr="004946AC" w:rsidTr="001F4A3E">
        <w:trPr>
          <w:trHeight w:val="454"/>
          <w:jc w:val="center"/>
        </w:trPr>
        <w:tc>
          <w:tcPr>
            <w:tcW w:w="36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267F" w:rsidRPr="00CF5A62" w:rsidRDefault="00F0267F" w:rsidP="001F4A3E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CF5A6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1E063E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E063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327.882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1E063E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E063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425.170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1E063E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E063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1E063E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E063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526.612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1E063E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E063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680.792 </w:t>
            </w:r>
          </w:p>
        </w:tc>
        <w:tc>
          <w:tcPr>
            <w:tcW w:w="7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1E063E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E063E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129,3</w:t>
            </w:r>
          </w:p>
        </w:tc>
      </w:tr>
      <w:tr w:rsidR="00F0267F" w:rsidRPr="004946AC" w:rsidTr="001F4A3E">
        <w:trPr>
          <w:trHeight w:val="285"/>
          <w:jc w:val="center"/>
        </w:trPr>
        <w:tc>
          <w:tcPr>
            <w:tcW w:w="36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267F" w:rsidRPr="004F7B3C" w:rsidRDefault="00F0267F" w:rsidP="001F4A3E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2.286.083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2.220.647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2.959.803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2.992.615 </w:t>
            </w:r>
          </w:p>
        </w:tc>
        <w:tc>
          <w:tcPr>
            <w:tcW w:w="7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101,1</w:t>
            </w:r>
          </w:p>
        </w:tc>
      </w:tr>
      <w:tr w:rsidR="00F0267F" w:rsidRPr="004946AC" w:rsidTr="001F4A3E">
        <w:trPr>
          <w:trHeight w:val="285"/>
          <w:jc w:val="center"/>
        </w:trPr>
        <w:tc>
          <w:tcPr>
            <w:tcW w:w="36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267F" w:rsidRPr="004F7B3C" w:rsidRDefault="00F0267F" w:rsidP="001F4A3E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995.981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1.121.783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1.163.998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1.310.215 </w:t>
            </w:r>
          </w:p>
        </w:tc>
        <w:tc>
          <w:tcPr>
            <w:tcW w:w="7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112,6</w:t>
            </w:r>
          </w:p>
        </w:tc>
      </w:tr>
      <w:tr w:rsidR="00F0267F" w:rsidRPr="005D34E7" w:rsidTr="001F4A3E">
        <w:trPr>
          <w:trHeight w:val="285"/>
          <w:jc w:val="center"/>
        </w:trPr>
        <w:tc>
          <w:tcPr>
            <w:tcW w:w="36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267F" w:rsidRPr="004F7B3C" w:rsidRDefault="00F0267F" w:rsidP="001F4A3E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Bruto i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nvest</w:t>
            </w:r>
            <w:r w:rsidR="001F4A3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samo 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novu dugotr</w:t>
            </w:r>
            <w:r w:rsidR="001F4A3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imovinu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553.124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961.658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666.345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1.094.157 </w:t>
            </w:r>
          </w:p>
        </w:tc>
        <w:tc>
          <w:tcPr>
            <w:tcW w:w="7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F0267F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0267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164,2</w:t>
            </w:r>
          </w:p>
        </w:tc>
      </w:tr>
      <w:tr w:rsidR="00F0267F" w:rsidRPr="005D34E7" w:rsidTr="001F4A3E">
        <w:trPr>
          <w:trHeight w:val="283"/>
          <w:jc w:val="center"/>
        </w:trPr>
        <w:tc>
          <w:tcPr>
            <w:tcW w:w="36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0267F" w:rsidRPr="007F530A" w:rsidRDefault="00F0267F" w:rsidP="001F4A3E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Prosječna mjesečna neto plaća po zaposl</w:t>
            </w:r>
            <w:r w:rsidR="001F4A3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7F530A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7F530A" w:rsidRDefault="00F0267F" w:rsidP="001E0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4.998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4.908</w:t>
            </w:r>
          </w:p>
        </w:tc>
        <w:tc>
          <w:tcPr>
            <w:tcW w:w="7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F0267F" w:rsidRPr="007F530A" w:rsidRDefault="00F0267F" w:rsidP="00F0267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100,9</w:t>
            </w:r>
          </w:p>
        </w:tc>
      </w:tr>
    </w:tbl>
    <w:p w:rsidR="004946AC" w:rsidRPr="004946AC" w:rsidRDefault="004946AC" w:rsidP="00C6338A">
      <w:pPr>
        <w:spacing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A9775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A9775A" w:rsidRPr="00E5349B" w:rsidRDefault="00C910F9" w:rsidP="00E91E7B">
      <w:pPr>
        <w:widowControl w:val="0"/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7F530A">
        <w:rPr>
          <w:rFonts w:ascii="Arial" w:hAnsi="Arial" w:cs="Arial"/>
          <w:b/>
          <w:color w:val="244061" w:themeColor="accent1" w:themeShade="80"/>
          <w:sz w:val="20"/>
          <w:szCs w:val="20"/>
        </w:rPr>
        <w:t>Prema visini ostvarenog prihoda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među poduzetnicima sa sjedištem na </w:t>
      </w:r>
      <w:r w:rsidR="00753284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Velikom u</w:t>
      </w:r>
      <w:r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rbanom području Zadar, najbolji su </w:t>
      </w:r>
      <w:hyperlink r:id="rId11" w:history="1">
        <w:r w:rsidRPr="000820CA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ALUFLEXPACK NOVI d.o.o.</w:t>
        </w:r>
      </w:hyperlink>
      <w:r w:rsidR="007F530A">
        <w:rPr>
          <w:rStyle w:val="Hiperveza"/>
          <w:rFonts w:ascii="Arial" w:eastAsia="Times New Roman" w:hAnsi="Arial" w:cs="Times New Roman"/>
          <w:bCs/>
          <w:sz w:val="20"/>
          <w:szCs w:val="20"/>
          <w:lang w:eastAsia="hr-HR"/>
        </w:rPr>
        <w:t>, s</w:t>
      </w:r>
      <w:r w:rsidR="00281C49"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 w:rsidR="00527CD3"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837,3</w:t>
      </w:r>
      <w:r w:rsidR="00281C49"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milijuna kuna </w:t>
      </w:r>
      <w:r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i </w:t>
      </w:r>
      <w:hyperlink r:id="rId12" w:history="1">
        <w:r w:rsidRPr="000820CA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TANKERSKA PLOVIDBA d.d.</w:t>
        </w:r>
      </w:hyperlink>
      <w:r w:rsidR="007F530A">
        <w:rPr>
          <w:rStyle w:val="Hiperveza"/>
          <w:rFonts w:ascii="Arial" w:eastAsia="Times New Roman" w:hAnsi="Arial" w:cs="Times New Roman"/>
          <w:bCs/>
          <w:sz w:val="20"/>
          <w:szCs w:val="20"/>
          <w:lang w:eastAsia="hr-HR"/>
        </w:rPr>
        <w:t xml:space="preserve">, </w:t>
      </w:r>
      <w:r w:rsidR="00281C49"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s</w:t>
      </w:r>
      <w:r w:rsidR="007F530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 w:rsidR="00527CD3"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488,2</w:t>
      </w:r>
      <w:r w:rsidR="00281C49"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milijuna kuna</w:t>
      </w:r>
      <w:r w:rsidR="00753284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ukupn</w:t>
      </w:r>
      <w:r w:rsidR="007F530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ih prihoda. </w:t>
      </w:r>
      <w:r w:rsidR="007F530A" w:rsidRPr="007F530A">
        <w:rPr>
          <w:rFonts w:ascii="Arial" w:eastAsia="Times New Roman" w:hAnsi="Arial" w:cs="Times New Roman"/>
          <w:b/>
          <w:bCs/>
          <w:color w:val="17365D"/>
          <w:sz w:val="20"/>
          <w:szCs w:val="20"/>
          <w:lang w:eastAsia="hr-HR"/>
        </w:rPr>
        <w:t>P</w:t>
      </w:r>
      <w:r w:rsidR="00312459" w:rsidRPr="007F530A">
        <w:rPr>
          <w:rFonts w:ascii="Arial" w:eastAsia="Times New Roman" w:hAnsi="Arial" w:cs="Times New Roman"/>
          <w:b/>
          <w:bCs/>
          <w:color w:val="17365D"/>
          <w:sz w:val="20"/>
          <w:szCs w:val="20"/>
          <w:lang w:eastAsia="hr-HR"/>
        </w:rPr>
        <w:t>rema kriteriju</w:t>
      </w:r>
      <w:r w:rsidR="00312459"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 w:rsidR="00312459" w:rsidRPr="00753284">
        <w:rPr>
          <w:rFonts w:ascii="Arial" w:eastAsia="Times New Roman" w:hAnsi="Arial" w:cs="Times New Roman"/>
          <w:b/>
          <w:bCs/>
          <w:color w:val="17365D"/>
          <w:sz w:val="20"/>
          <w:szCs w:val="20"/>
          <w:lang w:eastAsia="hr-HR"/>
        </w:rPr>
        <w:t>dobiti razdoblja</w:t>
      </w:r>
      <w:r w:rsidR="00312459"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najbolji su</w:t>
      </w:r>
      <w:r w:rsidR="000A2247"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hyperlink r:id="rId13" w:history="1">
        <w:r w:rsidR="00312459" w:rsidRPr="000820CA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TURISTHOTEL d.d.</w:t>
        </w:r>
      </w:hyperlink>
      <w:r w:rsidR="000A2247"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s</w:t>
      </w:r>
      <w:bookmarkStart w:id="0" w:name="_GoBack"/>
      <w:bookmarkEnd w:id="0"/>
      <w:r w:rsidR="007F530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a</w:t>
      </w:r>
      <w:r w:rsidR="000A2247"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79,6 milijuna kuna i </w:t>
      </w:r>
      <w:hyperlink r:id="rId14" w:history="1">
        <w:r w:rsidR="000A2247" w:rsidRPr="000820CA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PUNTA SKALA d.o.o.</w:t>
        </w:r>
      </w:hyperlink>
      <w:r w:rsidR="007F530A">
        <w:rPr>
          <w:rStyle w:val="Hiperveza"/>
          <w:rFonts w:ascii="Arial" w:eastAsia="Times New Roman" w:hAnsi="Arial" w:cs="Times New Roman"/>
          <w:bCs/>
          <w:sz w:val="20"/>
          <w:szCs w:val="20"/>
          <w:lang w:eastAsia="hr-HR"/>
        </w:rPr>
        <w:t>,</w:t>
      </w:r>
      <w:r w:rsidR="000A2247" w:rsidRPr="000A224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sa 76,1 milijun kuna dobiti</w:t>
      </w:r>
      <w:r w:rsidR="00753284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, dok su </w:t>
      </w:r>
      <w:r w:rsidR="00753284" w:rsidRPr="00753284">
        <w:rPr>
          <w:rFonts w:ascii="Arial" w:eastAsia="Times New Roman" w:hAnsi="Arial" w:cs="Times New Roman"/>
          <w:b/>
          <w:bCs/>
          <w:color w:val="17365D"/>
          <w:sz w:val="20"/>
          <w:szCs w:val="20"/>
          <w:lang w:eastAsia="hr-HR"/>
        </w:rPr>
        <w:t>n</w:t>
      </w:r>
      <w:r w:rsidR="00312459" w:rsidRPr="00753284">
        <w:rPr>
          <w:rFonts w:ascii="Arial" w:eastAsia="Times New Roman" w:hAnsi="Arial" w:cs="Times New Roman"/>
          <w:b/>
          <w:bCs/>
          <w:color w:val="17365D"/>
          <w:sz w:val="20"/>
          <w:szCs w:val="20"/>
          <w:lang w:eastAsia="hr-HR"/>
        </w:rPr>
        <w:t>a</w:t>
      </w:r>
      <w:r w:rsidR="00312459" w:rsidRPr="003F4937">
        <w:rPr>
          <w:rFonts w:ascii="Arial" w:eastAsia="Times New Roman" w:hAnsi="Arial" w:cs="Times New Roman"/>
          <w:b/>
          <w:bCs/>
          <w:color w:val="17365D"/>
          <w:sz w:val="20"/>
          <w:szCs w:val="20"/>
          <w:lang w:eastAsia="hr-HR"/>
        </w:rPr>
        <w:t>jveći izvoz</w:t>
      </w:r>
      <w:r w:rsidR="00312459"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ostvaril</w:t>
      </w:r>
      <w:r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i </w:t>
      </w:r>
      <w:hyperlink r:id="rId15" w:history="1">
        <w:r w:rsidR="0043181D" w:rsidRPr="000820CA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ALUFLEXPACK NOVI d.o.o.</w:t>
        </w:r>
      </w:hyperlink>
      <w:r w:rsidR="000A2247"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(598,4 milijuna kuna) </w:t>
      </w:r>
      <w:r w:rsidR="00161E42"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i </w:t>
      </w:r>
      <w:hyperlink r:id="rId16" w:history="1">
        <w:r w:rsidR="0043181D" w:rsidRPr="000820CA">
          <w:rPr>
            <w:rStyle w:val="Hiperveza"/>
            <w:rFonts w:ascii="Arial" w:eastAsia="Times New Roman" w:hAnsi="Arial" w:cs="Times New Roman"/>
            <w:bCs/>
            <w:sz w:val="20"/>
            <w:szCs w:val="20"/>
            <w:lang w:eastAsia="hr-HR"/>
          </w:rPr>
          <w:t>TANKERSKA PLOVIDBA d.d</w:t>
        </w:r>
      </w:hyperlink>
      <w:r w:rsidR="0043181D"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.</w:t>
      </w:r>
      <w:r w:rsidR="000A2247"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(444,4 milijuna kuna)</w:t>
      </w:r>
      <w:r w:rsidR="007F530A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. Ovo </w:t>
      </w:r>
      <w:r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potonje društvo je </w:t>
      </w:r>
      <w:r w:rsidR="00312459"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najv</w:t>
      </w:r>
      <w:r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iše </w:t>
      </w:r>
      <w:r w:rsidR="00312459"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investi</w:t>
      </w:r>
      <w:r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ral</w:t>
      </w:r>
      <w:r w:rsidR="000C3EF1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o</w:t>
      </w:r>
      <w:r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u </w:t>
      </w:r>
      <w:r w:rsidR="00312459"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dugotrajnu imovinu</w:t>
      </w:r>
      <w:r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(</w:t>
      </w:r>
      <w:r w:rsidR="003F4937"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461,7</w:t>
      </w:r>
      <w:r w:rsidR="00161E42"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 w:rsidR="00C83F8B"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milijuna kuna</w:t>
      </w:r>
      <w:r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)</w:t>
      </w:r>
      <w:r w:rsidR="00C83F8B" w:rsidRPr="003F493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.</w:t>
      </w:r>
      <w:r w:rsidR="00266EA7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 w:rsidR="00443FFD" w:rsidRPr="00AD5C6C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</w:t>
      </w:r>
      <w:r w:rsidR="00443FFD" w:rsidRPr="00857A4B">
        <w:rPr>
          <w:rFonts w:ascii="Arial" w:hAnsi="Arial" w:cs="Arial"/>
          <w:b/>
          <w:color w:val="244061" w:themeColor="accent1" w:themeShade="80"/>
          <w:sz w:val="20"/>
          <w:szCs w:val="20"/>
        </w:rPr>
        <w:t>produktivnosti (prihodu po zaposlenom)</w:t>
      </w:r>
      <w:r w:rsidR="00443FFD" w:rsidRPr="00857A4B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443FFD" w:rsidRPr="00AD5C6C">
        <w:rPr>
          <w:rFonts w:ascii="Arial" w:hAnsi="Arial" w:cs="Arial"/>
          <w:color w:val="244061" w:themeColor="accent1" w:themeShade="80"/>
          <w:sz w:val="20"/>
          <w:szCs w:val="20"/>
        </w:rPr>
        <w:t xml:space="preserve"> na prvom su mjestu poduzetnici </w:t>
      </w:r>
      <w:r w:rsidR="00F369FE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na </w:t>
      </w:r>
      <w:r w:rsidR="00F369FE" w:rsidRPr="004D5A6F">
        <w:rPr>
          <w:rFonts w:ascii="Arial" w:hAnsi="Arial" w:cs="Arial"/>
          <w:color w:val="244061" w:themeColor="accent1" w:themeShade="80"/>
          <w:sz w:val="20"/>
          <w:szCs w:val="20"/>
        </w:rPr>
        <w:t xml:space="preserve">području </w:t>
      </w:r>
      <w:r w:rsidR="00753284">
        <w:rPr>
          <w:rFonts w:ascii="Arial" w:hAnsi="Arial" w:cs="Arial"/>
          <w:color w:val="244061" w:themeColor="accent1" w:themeShade="80"/>
          <w:sz w:val="20"/>
          <w:szCs w:val="20"/>
        </w:rPr>
        <w:t xml:space="preserve">općine </w:t>
      </w:r>
      <w:r w:rsidR="00443FFD" w:rsidRPr="00A7379B">
        <w:rPr>
          <w:rFonts w:ascii="Arial" w:hAnsi="Arial" w:cs="Arial"/>
          <w:color w:val="244061" w:themeColor="accent1" w:themeShade="80"/>
          <w:sz w:val="20"/>
          <w:szCs w:val="20"/>
        </w:rPr>
        <w:t>Poličnik, s 1,</w:t>
      </w:r>
      <w:r w:rsidR="002A6D49" w:rsidRPr="00A7379B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443FFD" w:rsidRPr="00A7379B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kuna, dok je među poduzetnicima navedene općine po produktivnosti na prvom mjestu društvo </w:t>
      </w:r>
      <w:hyperlink r:id="rId17" w:history="1">
        <w:r w:rsidR="002A6D49" w:rsidRPr="000820CA">
          <w:rPr>
            <w:rStyle w:val="Hiperveza"/>
            <w:rFonts w:ascii="Arial" w:hAnsi="Arial" w:cs="Arial"/>
            <w:sz w:val="20"/>
            <w:szCs w:val="20"/>
          </w:rPr>
          <w:t>LIGNUM d.o.o.</w:t>
        </w:r>
      </w:hyperlink>
      <w:r w:rsidR="00443FFD" w:rsidRPr="00A7379B">
        <w:rPr>
          <w:rFonts w:ascii="Arial" w:hAnsi="Arial" w:cs="Arial"/>
          <w:color w:val="244061" w:themeColor="accent1" w:themeShade="80"/>
          <w:sz w:val="20"/>
          <w:szCs w:val="20"/>
        </w:rPr>
        <w:t xml:space="preserve"> sa </w:t>
      </w:r>
      <w:r w:rsidR="002A6D49" w:rsidRPr="00A7379B">
        <w:rPr>
          <w:rFonts w:ascii="Arial" w:hAnsi="Arial" w:cs="Arial"/>
          <w:color w:val="244061" w:themeColor="accent1" w:themeShade="80"/>
          <w:sz w:val="20"/>
          <w:szCs w:val="20"/>
        </w:rPr>
        <w:t>3,9</w:t>
      </w:r>
      <w:r w:rsidR="00443FFD" w:rsidRPr="00A7379B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 po zaposlenom.</w:t>
      </w:r>
      <w:r w:rsidR="00443FFD" w:rsidRPr="001540B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33642" w:rsidRPr="00E5349B">
        <w:rPr>
          <w:rFonts w:ascii="Arial" w:hAnsi="Arial" w:cs="Arial"/>
          <w:color w:val="244061" w:themeColor="accent1" w:themeShade="80"/>
          <w:sz w:val="20"/>
          <w:szCs w:val="20"/>
        </w:rPr>
        <w:t>Navedeno d</w:t>
      </w:r>
      <w:r w:rsidR="00443FFD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ruštvo </w:t>
      </w:r>
      <w:r w:rsidR="00527CD3" w:rsidRPr="00E5349B">
        <w:rPr>
          <w:rFonts w:ascii="Arial" w:hAnsi="Arial" w:cs="Arial"/>
          <w:color w:val="244061" w:themeColor="accent1" w:themeShade="80"/>
          <w:sz w:val="20"/>
          <w:szCs w:val="20"/>
        </w:rPr>
        <w:t>povećalo je</w:t>
      </w:r>
      <w:r w:rsidR="00EB39F4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43FFD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prihode za </w:t>
      </w:r>
      <w:r w:rsidR="00E5349B" w:rsidRPr="00E5349B">
        <w:rPr>
          <w:rFonts w:ascii="Arial" w:hAnsi="Arial" w:cs="Arial"/>
          <w:color w:val="244061" w:themeColor="accent1" w:themeShade="80"/>
          <w:sz w:val="20"/>
          <w:szCs w:val="20"/>
        </w:rPr>
        <w:t>127,8</w:t>
      </w:r>
      <w:r w:rsidR="00C023D2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B39F4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%, a </w:t>
      </w:r>
      <w:r w:rsidR="00E5349B" w:rsidRPr="00E5349B">
        <w:rPr>
          <w:rFonts w:ascii="Arial" w:hAnsi="Arial" w:cs="Arial"/>
          <w:color w:val="244061" w:themeColor="accent1" w:themeShade="80"/>
          <w:sz w:val="20"/>
          <w:szCs w:val="20"/>
        </w:rPr>
        <w:t>smanjilo</w:t>
      </w:r>
      <w:r w:rsidR="00EB39F4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broj</w:t>
      </w:r>
      <w:r w:rsidR="00443FFD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B39F4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zaposlenih za </w:t>
      </w:r>
      <w:r w:rsidR="00E5349B" w:rsidRPr="00E5349B">
        <w:rPr>
          <w:rFonts w:ascii="Arial" w:hAnsi="Arial" w:cs="Arial"/>
          <w:color w:val="244061" w:themeColor="accent1" w:themeShade="80"/>
          <w:sz w:val="20"/>
          <w:szCs w:val="20"/>
        </w:rPr>
        <w:t>9,1</w:t>
      </w:r>
      <w:r w:rsidR="00C023D2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43FFD" w:rsidRPr="00E5349B">
        <w:rPr>
          <w:rFonts w:ascii="Arial" w:hAnsi="Arial" w:cs="Arial"/>
          <w:color w:val="244061" w:themeColor="accent1" w:themeShade="80"/>
          <w:sz w:val="20"/>
          <w:szCs w:val="20"/>
        </w:rPr>
        <w:t>% u odnosu na 201</w:t>
      </w:r>
      <w:r w:rsidR="00414361" w:rsidRPr="00E5349B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443FFD" w:rsidRPr="00E5349B">
        <w:rPr>
          <w:rFonts w:ascii="Arial" w:hAnsi="Arial" w:cs="Arial"/>
          <w:color w:val="244061" w:themeColor="accent1" w:themeShade="80"/>
          <w:sz w:val="20"/>
          <w:szCs w:val="20"/>
        </w:rPr>
        <w:t>. god</w:t>
      </w:r>
      <w:r w:rsidR="004F10EE" w:rsidRPr="00E5349B">
        <w:rPr>
          <w:rFonts w:ascii="Arial" w:hAnsi="Arial" w:cs="Arial"/>
          <w:color w:val="244061" w:themeColor="accent1" w:themeShade="80"/>
          <w:sz w:val="20"/>
          <w:szCs w:val="20"/>
        </w:rPr>
        <w:t>inu</w:t>
      </w:r>
      <w:r w:rsidR="00443FFD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8E15FF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Pretežita djelatnost društva prema NKD 2007 je </w:t>
      </w:r>
      <w:r w:rsidR="00E5349B" w:rsidRPr="00E5349B">
        <w:rPr>
          <w:rFonts w:ascii="Arial" w:hAnsi="Arial" w:cs="Arial"/>
          <w:color w:val="244061" w:themeColor="accent1" w:themeShade="80"/>
          <w:sz w:val="20"/>
          <w:szCs w:val="20"/>
        </w:rPr>
        <w:t>23</w:t>
      </w:r>
      <w:r w:rsidR="008E15FF" w:rsidRPr="00E5349B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E5349B" w:rsidRPr="00E5349B">
        <w:rPr>
          <w:rFonts w:ascii="Arial" w:hAnsi="Arial" w:cs="Arial"/>
          <w:color w:val="244061" w:themeColor="accent1" w:themeShade="80"/>
          <w:sz w:val="20"/>
          <w:szCs w:val="20"/>
        </w:rPr>
        <w:t>61</w:t>
      </w:r>
      <w:r w:rsidR="008E15FF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91E7B">
        <w:rPr>
          <w:rFonts w:ascii="Arial" w:hAnsi="Arial" w:cs="Arial"/>
          <w:color w:val="244061" w:themeColor="accent1" w:themeShade="80"/>
          <w:sz w:val="20"/>
          <w:szCs w:val="20"/>
        </w:rPr>
        <w:t xml:space="preserve">- </w:t>
      </w:r>
      <w:r w:rsidR="008E15FF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Proizvodnja </w:t>
      </w:r>
      <w:r w:rsidR="00E5349B" w:rsidRPr="00E5349B">
        <w:rPr>
          <w:rFonts w:ascii="Arial" w:hAnsi="Arial" w:cs="Arial"/>
          <w:color w:val="244061" w:themeColor="accent1" w:themeShade="80"/>
          <w:sz w:val="20"/>
          <w:szCs w:val="20"/>
        </w:rPr>
        <w:t>proizvoda od betona za građevinarstvo</w:t>
      </w:r>
      <w:r w:rsidR="008E15FF" w:rsidRPr="00E5349B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4F7B3C" w:rsidRPr="00E5349B" w:rsidRDefault="00443FFD" w:rsidP="008363CD">
      <w:pPr>
        <w:widowControl w:val="0"/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ostvarenoj produktivnosti </w:t>
      </w:r>
      <w:r w:rsidR="00E91E7B">
        <w:rPr>
          <w:rFonts w:ascii="Arial" w:hAnsi="Arial" w:cs="Arial"/>
          <w:color w:val="244061" w:themeColor="accent1" w:themeShade="80"/>
          <w:sz w:val="20"/>
          <w:szCs w:val="20"/>
        </w:rPr>
        <w:t xml:space="preserve">mjerenom prihodima po zaposlenom </w:t>
      </w:r>
      <w:r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slijede poduzetnici </w:t>
      </w:r>
      <w:r w:rsidR="004F10EE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="00414361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općini </w:t>
      </w:r>
      <w:r w:rsidRPr="00E5349B">
        <w:rPr>
          <w:rFonts w:ascii="Arial" w:hAnsi="Arial" w:cs="Arial"/>
          <w:color w:val="244061" w:themeColor="accent1" w:themeShade="80"/>
          <w:sz w:val="20"/>
          <w:szCs w:val="20"/>
        </w:rPr>
        <w:t>Vrsi</w:t>
      </w:r>
      <w:r w:rsidR="00E91E7B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s </w:t>
      </w:r>
      <w:r w:rsidR="00414361" w:rsidRPr="00E5349B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E91E7B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414361" w:rsidRPr="00E5349B">
        <w:rPr>
          <w:rFonts w:ascii="Arial" w:hAnsi="Arial" w:cs="Arial"/>
          <w:color w:val="244061" w:themeColor="accent1" w:themeShade="80"/>
          <w:sz w:val="20"/>
          <w:szCs w:val="20"/>
        </w:rPr>
        <w:t>050</w:t>
      </w:r>
      <w:r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 te poduzetnici </w:t>
      </w:r>
      <w:r w:rsidR="004F10EE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Pr="00E5349B">
        <w:rPr>
          <w:rFonts w:ascii="Arial" w:hAnsi="Arial" w:cs="Arial"/>
          <w:color w:val="244061" w:themeColor="accent1" w:themeShade="80"/>
          <w:sz w:val="20"/>
          <w:szCs w:val="20"/>
        </w:rPr>
        <w:t>Novigrad</w:t>
      </w:r>
      <w:r w:rsidR="00C910F9" w:rsidRPr="00E5349B">
        <w:rPr>
          <w:rFonts w:ascii="Arial" w:hAnsi="Arial" w:cs="Arial"/>
          <w:color w:val="244061" w:themeColor="accent1" w:themeShade="80"/>
          <w:sz w:val="20"/>
          <w:szCs w:val="20"/>
        </w:rPr>
        <w:t>u,</w:t>
      </w:r>
      <w:r w:rsidR="00942359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s 809</w:t>
      </w:r>
      <w:r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tisuća kuna po zaposlenom.</w:t>
      </w:r>
      <w:r w:rsidR="00EB73A1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F7B3C" w:rsidRPr="00E5349B">
        <w:rPr>
          <w:rFonts w:ascii="Arial" w:hAnsi="Arial" w:cs="Arial"/>
          <w:color w:val="244061" w:themeColor="accent1" w:themeShade="80"/>
          <w:sz w:val="20"/>
          <w:szCs w:val="20"/>
        </w:rPr>
        <w:t>Za usporedbu, produktivnost poduzetnika</w:t>
      </w:r>
      <w:r w:rsidR="0032200A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Zadarske županije iznosila je 5</w:t>
      </w:r>
      <w:r w:rsidR="00942359" w:rsidRPr="00E5349B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E5349B" w:rsidRPr="00E5349B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32200A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</w:t>
      </w:r>
      <w:r w:rsidR="00E5349B" w:rsidRPr="00E5349B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32200A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a</w:t>
      </w:r>
      <w:r w:rsidR="004F7B3C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na razini RH u 201</w:t>
      </w:r>
      <w:r w:rsidR="00E5349B" w:rsidRPr="00E5349B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4F7B3C" w:rsidRPr="00E5349B">
        <w:rPr>
          <w:rFonts w:ascii="Arial" w:hAnsi="Arial" w:cs="Arial"/>
          <w:color w:val="244061" w:themeColor="accent1" w:themeShade="80"/>
          <w:sz w:val="20"/>
          <w:szCs w:val="20"/>
        </w:rPr>
        <w:t>. godini 7</w:t>
      </w:r>
      <w:r w:rsidR="00E5349B" w:rsidRPr="00E5349B">
        <w:rPr>
          <w:rFonts w:ascii="Arial" w:hAnsi="Arial" w:cs="Arial"/>
          <w:color w:val="244061" w:themeColor="accent1" w:themeShade="80"/>
          <w:sz w:val="20"/>
          <w:szCs w:val="20"/>
        </w:rPr>
        <w:t>68</w:t>
      </w:r>
      <w:r w:rsidR="004F7B3C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tisuć</w:t>
      </w:r>
      <w:r w:rsidR="00E5349B" w:rsidRPr="00E5349B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4F7B3C" w:rsidRPr="00E5349B">
        <w:rPr>
          <w:rFonts w:ascii="Arial" w:hAnsi="Arial" w:cs="Arial"/>
          <w:color w:val="244061" w:themeColor="accent1" w:themeShade="80"/>
          <w:sz w:val="20"/>
          <w:szCs w:val="20"/>
        </w:rPr>
        <w:t xml:space="preserve"> kuna.</w:t>
      </w:r>
    </w:p>
    <w:p w:rsidR="00E1622B" w:rsidRPr="001B2274" w:rsidRDefault="009E13D0" w:rsidP="008363CD">
      <w:pPr>
        <w:pageBreakBefore/>
        <w:widowControl w:val="0"/>
        <w:tabs>
          <w:tab w:val="left" w:pos="1134"/>
        </w:tabs>
        <w:spacing w:after="40" w:line="240" w:lineRule="auto"/>
        <w:ind w:left="1140" w:hanging="1140"/>
        <w:jc w:val="both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lastRenderedPageBreak/>
        <w:t>Grafikon 2</w:t>
      </w:r>
      <w:r w:rsidR="00E1622B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E1622B" w:rsidRPr="008363C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0820CA" w:rsidRPr="008363C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TOP 10</w:t>
      </w:r>
      <w:r w:rsidR="00DE46DC" w:rsidRPr="008363C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8363C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po p</w:t>
      </w:r>
      <w:r w:rsidR="00E1622B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rihod</w:t>
      </w:r>
      <w:r w:rsidR="008363C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="00E1622B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 zaposlenom u 201</w:t>
      </w:r>
      <w:r w:rsidR="002A53C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7</w:t>
      </w:r>
      <w:r w:rsidR="00E1622B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na razini gradova/općina </w:t>
      </w:r>
      <w:r w:rsidR="00DE46D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VUP Zadar</w:t>
      </w:r>
    </w:p>
    <w:p w:rsidR="00E1622B" w:rsidRPr="00C343B3" w:rsidRDefault="00E1622B" w:rsidP="00E91E7B">
      <w:pPr>
        <w:tabs>
          <w:tab w:val="left" w:pos="1134"/>
        </w:tabs>
        <w:spacing w:after="40" w:line="240" w:lineRule="auto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2C4E1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(iznosi u tisućama </w:t>
      </w:r>
      <w:r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kuna)</w:t>
      </w:r>
    </w:p>
    <w:p w:rsidR="00E1622B" w:rsidRPr="00E1622B" w:rsidRDefault="00083A41" w:rsidP="00802049">
      <w:pPr>
        <w:spacing w:after="0" w:line="240" w:lineRule="auto"/>
        <w:jc w:val="center"/>
        <w:rPr>
          <w:rFonts w:ascii="Arial" w:eastAsia="Times New Roman" w:hAnsi="Arial" w:cs="Arial"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eastAsia="hr-HR"/>
        </w:rPr>
        <w:drawing>
          <wp:inline distT="0" distB="0" distL="0" distR="0" wp14:anchorId="4A980933" wp14:editId="45A5C072">
            <wp:extent cx="6042355" cy="23701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41" cy="2375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22B" w:rsidRPr="008A0950" w:rsidRDefault="00E1622B" w:rsidP="00C6338A">
      <w:pPr>
        <w:spacing w:after="0" w:line="240" w:lineRule="auto"/>
        <w:ind w:left="992" w:hanging="992"/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</w:pPr>
      <w:r w:rsidRPr="008A0950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  <w:r w:rsidR="00F33A7C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 xml:space="preserve">, </w:t>
      </w:r>
      <w:r w:rsidR="00F33A7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 w:rsidR="002A53C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="00F33A7C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  <w:r w:rsidRPr="008A0950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</w:p>
    <w:p w:rsidR="00196919" w:rsidRPr="00A01B26" w:rsidRDefault="00765899" w:rsidP="001F4A3E">
      <w:pPr>
        <w:widowControl w:val="0"/>
        <w:spacing w:before="180" w:after="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6F78FA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Prosječna mjesečna neto plaća</w:t>
      </w:r>
      <w:r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obračunata </w:t>
      </w:r>
      <w:r w:rsidR="00C910F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</w:t>
      </w:r>
      <w:r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</w:t>
      </w:r>
      <w:r w:rsidR="00563E04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Velikog urbanog područja</w:t>
      </w:r>
      <w:r w:rsidR="00F56A6D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9E13D0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Zadra</w:t>
      </w:r>
      <w:r w:rsidR="00F56A6D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E357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 201</w:t>
      </w:r>
      <w:r w:rsidR="002A53C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</w:t>
      </w:r>
      <w:r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godini </w:t>
      </w:r>
      <w:r w:rsidRPr="0094235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iznosila je </w:t>
      </w:r>
      <w:r w:rsidR="00E5349B"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4.998</w:t>
      </w:r>
      <w:r w:rsidR="00BA6EC2"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kun</w:t>
      </w:r>
      <w:r w:rsidR="00942359"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odnosno </w:t>
      </w:r>
      <w:r w:rsidR="00E5349B"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0,5</w:t>
      </w:r>
      <w:r w:rsidR="00C023D2"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</w:t>
      </w:r>
      <w:r w:rsidR="00E5349B"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manje</w:t>
      </w:r>
      <w:r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odnosu na prethodnu godinu te </w:t>
      </w:r>
      <w:r w:rsidR="00E5349B"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1,8</w:t>
      </w:r>
      <w:r w:rsidR="00C023D2"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</w:t>
      </w:r>
      <w:r w:rsidR="00F56A6D"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više</w:t>
      </w:r>
      <w:r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od iznosa prosječne mjesečne neto plaće zaposlenih kod poduzetnika </w:t>
      </w:r>
      <w:r w:rsidR="00F56A6D"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</w:t>
      </w:r>
      <w:r w:rsidR="009E13D0"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Zadarskoj</w:t>
      </w:r>
      <w:r w:rsidR="00F56A6D"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županiji</w:t>
      </w:r>
      <w:r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(4.</w:t>
      </w:r>
      <w:r w:rsidR="006F2A8D"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908</w:t>
      </w:r>
      <w:r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6F2A8D"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6F2A8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).</w:t>
      </w:r>
      <w:r w:rsidRPr="002A53CA">
        <w:rPr>
          <w:rFonts w:ascii="Arial" w:eastAsia="Times New Roman" w:hAnsi="Arial"/>
          <w:bCs/>
          <w:color w:val="FF0000"/>
          <w:sz w:val="20"/>
          <w:szCs w:val="20"/>
          <w:lang w:eastAsia="hr-HR"/>
        </w:rPr>
        <w:t xml:space="preserve"> </w:t>
      </w:r>
      <w:r w:rsidRPr="006F78FA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Najv</w:t>
      </w:r>
      <w:r w:rsidR="000B4675" w:rsidRPr="006F78FA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iša</w:t>
      </w:r>
      <w:r w:rsidRPr="00C1408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802049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prosječna mjesečna neto plaća</w:t>
      </w:r>
      <w:r w:rsidRPr="00C1408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obračunata je </w:t>
      </w:r>
      <w:r w:rsidR="00E91E7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sa sjedištem u </w:t>
      </w:r>
      <w:r w:rsidR="00C14081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Zemunik</w:t>
      </w:r>
      <w:r w:rsidR="008020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C14081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Donj</w:t>
      </w:r>
      <w:r w:rsidR="008020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em</w:t>
      </w:r>
      <w:r w:rsidR="00BA6EC2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(5</w:t>
      </w:r>
      <w:r w:rsidR="00766A6E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321</w:t>
      </w:r>
      <w:r w:rsidR="00BA6EC2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CB3931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BA6EC2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slijede poduzetnici </w:t>
      </w:r>
      <w:r w:rsidR="008020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u 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Kali</w:t>
      </w:r>
      <w:r w:rsidR="008020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(5.287 kuna)</w:t>
      </w:r>
      <w:r w:rsidR="008020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 w:rsidR="0075328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Sukošan</w:t>
      </w:r>
      <w:r w:rsidR="008020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(5.195 kuna</w:t>
      </w:r>
      <w:r w:rsidR="00DE46D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),</w:t>
      </w:r>
      <w:r w:rsidR="00CB3931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Zadr</w:t>
      </w:r>
      <w:r w:rsidR="008020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5.071</w:t>
      </w:r>
      <w:r w:rsidR="004D07C8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kun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CB3931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="00DE46D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te </w:t>
      </w:r>
      <w:r w:rsidR="00DE46DC" w:rsidRPr="00DE46D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Poličnik</w:t>
      </w:r>
      <w:r w:rsidR="008020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DE46DC" w:rsidRPr="00DE46D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(5.007 kuna)</w:t>
      </w:r>
      <w:r w:rsidR="00DE46D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. </w:t>
      </w:r>
      <w:r w:rsidR="000B4675" w:rsidRPr="00802049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Najniža prosječna mjesečna neto plaća</w:t>
      </w:r>
      <w:r w:rsidR="000B4675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obračunata je </w:t>
      </w:r>
      <w:r w:rsidR="00C910F9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</w:t>
      </w:r>
      <w:r w:rsidR="000B4675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</w:t>
      </w:r>
      <w:r w:rsidR="008020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Galovc</w:t>
      </w:r>
      <w:r w:rsidR="008020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0B4675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CB3931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3.08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</w:t>
      </w:r>
      <w:r w:rsidR="000B4675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0B4675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).</w:t>
      </w:r>
      <w:r w:rsidR="002F74A5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4F7B3C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 usporedbu, prosječna mjesečna obračuna</w:t>
      </w:r>
      <w:r w:rsid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 w:rsidR="004F7B3C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 neto plaća zaposlenih kod</w:t>
      </w:r>
      <w:r w:rsidR="00E357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poduzetnika</w:t>
      </w:r>
      <w:r w:rsid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Zadarskoj županiji u 201</w:t>
      </w:r>
      <w:r w:rsidR="002A53C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</w:t>
      </w:r>
      <w:r w:rsidR="00CB3931" w:rsidRPr="00FC482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. godini </w:t>
      </w:r>
      <w:r w:rsidR="00CB3931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iznosila je </w:t>
      </w:r>
      <w:r w:rsidR="00CB3931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908</w:t>
      </w:r>
      <w:r w:rsidR="00CB3931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CB3931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 a</w:t>
      </w:r>
      <w:r w:rsidR="00E357AF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na razini RH </w:t>
      </w:r>
      <w:r w:rsidR="00C14081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372</w:t>
      </w:r>
      <w:r w:rsidR="00C14081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4F7B3C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kun</w:t>
      </w:r>
      <w:r w:rsidR="006F2A8D" w:rsidRPr="001540B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8020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E91E7B" w:rsidRDefault="00E1622B" w:rsidP="00802049">
      <w:pPr>
        <w:tabs>
          <w:tab w:val="left" w:pos="1134"/>
        </w:tabs>
        <w:spacing w:before="180" w:after="40" w:line="240" w:lineRule="auto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Grafikon </w:t>
      </w:r>
      <w:r w:rsidR="009E13D0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DE46D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VUP Zadar – TOP 5 </w:t>
      </w:r>
      <w:r w:rsidR="00E91E7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po kriteriju p</w:t>
      </w: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rosječn</w:t>
      </w:r>
      <w:r w:rsidR="00E91E7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e</w:t>
      </w: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mjesečn</w:t>
      </w:r>
      <w:r w:rsidR="00E91E7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e</w:t>
      </w:r>
      <w:r w:rsidR="00E357AF"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neto plaća po zaposlenom u 201</w:t>
      </w:r>
      <w:r w:rsidR="00DE46D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7</w:t>
      </w:r>
      <w:r w:rsidRPr="001B227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godini</w:t>
      </w:r>
    </w:p>
    <w:p w:rsidR="001847F3" w:rsidRPr="00E91E7B" w:rsidRDefault="00E91E7B" w:rsidP="00E91E7B">
      <w:pPr>
        <w:spacing w:after="40" w:line="240" w:lineRule="auto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E91E7B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(i</w:t>
      </w:r>
      <w:r w:rsidR="00E1622B" w:rsidRPr="00E91E7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znosi u tisućama kn)</w:t>
      </w:r>
    </w:p>
    <w:p w:rsidR="00DC7485" w:rsidRPr="00802049" w:rsidRDefault="00266EA7" w:rsidP="00802049">
      <w:pPr>
        <w:widowControl w:val="0"/>
        <w:spacing w:after="0" w:line="240" w:lineRule="auto"/>
        <w:jc w:val="center"/>
        <w:rPr>
          <w:rFonts w:ascii="Arial" w:eastAsia="Times New Roman" w:hAnsi="Arial"/>
          <w:bCs/>
          <w:color w:val="244061"/>
          <w:sz w:val="18"/>
          <w:szCs w:val="18"/>
          <w:lang w:eastAsia="hr-HR"/>
        </w:rPr>
      </w:pPr>
      <w:r>
        <w:rPr>
          <w:rFonts w:ascii="Arial" w:eastAsia="Times New Roman" w:hAnsi="Arial"/>
          <w:bCs/>
          <w:noProof/>
          <w:color w:val="244061"/>
          <w:sz w:val="20"/>
          <w:szCs w:val="20"/>
          <w:lang w:eastAsia="hr-HR"/>
        </w:rPr>
        <w:drawing>
          <wp:inline distT="0" distB="0" distL="0" distR="0" wp14:anchorId="11454F66">
            <wp:extent cx="6192000" cy="2376000"/>
            <wp:effectExtent l="0" t="0" r="0" b="5715"/>
            <wp:docPr id="8" name="Slika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3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7A4B" w:rsidRPr="00802049" w:rsidRDefault="00713E71" w:rsidP="008363CD">
      <w:pPr>
        <w:spacing w:after="240" w:line="240" w:lineRule="auto"/>
        <w:rPr>
          <w:rFonts w:ascii="Arial" w:eastAsia="Calibri" w:hAnsi="Arial" w:cs="Arial"/>
          <w:color w:val="244061" w:themeColor="accent1" w:themeShade="80"/>
          <w:sz w:val="16"/>
          <w:szCs w:val="16"/>
        </w:rPr>
      </w:pPr>
      <w:r w:rsidRPr="00F33A7C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</w:t>
      </w:r>
      <w:r w:rsidR="00E1622B" w:rsidRPr="00F33A7C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vor: Fina, Registar godišnjih financijskih izvještaja</w:t>
      </w:r>
      <w:r w:rsidR="00F33A7C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 xml:space="preserve">, </w:t>
      </w:r>
      <w:r w:rsidR="00F33A7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 w:rsidR="002A53C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="00F33A7C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  <w:r w:rsidR="00E1622B" w:rsidRPr="00F33A7C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</w:p>
    <w:p w:rsidR="005255DE" w:rsidRPr="00132FFE" w:rsidRDefault="005255DE" w:rsidP="005255DE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tbl>
      <w:tblPr>
        <w:tblW w:w="9752" w:type="dxa"/>
        <w:jc w:val="center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ook w:val="04A0" w:firstRow="1" w:lastRow="0" w:firstColumn="1" w:lastColumn="0" w:noHBand="0" w:noVBand="1"/>
      </w:tblPr>
      <w:tblGrid>
        <w:gridCol w:w="8006"/>
        <w:gridCol w:w="1746"/>
      </w:tblGrid>
      <w:tr w:rsidR="00562D7A" w:rsidRPr="001F4A3E" w:rsidTr="00802049">
        <w:trPr>
          <w:trHeight w:val="276"/>
          <w:jc w:val="center"/>
        </w:trPr>
        <w:tc>
          <w:tcPr>
            <w:tcW w:w="8246" w:type="dxa"/>
            <w:hideMark/>
          </w:tcPr>
          <w:p w:rsidR="00266EA7" w:rsidRPr="007F530A" w:rsidRDefault="00562D7A" w:rsidP="00802049">
            <w:pPr>
              <w:spacing w:before="80" w:after="0" w:line="240" w:lineRule="auto"/>
              <w:jc w:val="both"/>
              <w:rPr>
                <w:rStyle w:val="Hiperveza"/>
                <w:rFonts w:ascii="Arial" w:eastAsia="Times New Roman" w:hAnsi="Arial" w:cs="Arial"/>
                <w:i/>
                <w:sz w:val="18"/>
                <w:szCs w:val="18"/>
                <w:lang w:eastAsia="hr-HR"/>
              </w:rPr>
            </w:pPr>
            <w:r w:rsidRPr="007F530A">
              <w:rPr>
                <w:rFonts w:ascii="Arial" w:eastAsia="Times New Roman" w:hAnsi="Arial" w:cs="Arial"/>
                <w:i/>
                <w:color w:val="17365D"/>
                <w:sz w:val="18"/>
                <w:szCs w:val="18"/>
                <w:lang w:eastAsia="hr-HR"/>
              </w:rPr>
              <w:t xml:space="preserve">Više informacija dostupno u Analizi financijskih rezultata poslovanja poduzetnika po svim gradovima i općinama RH. Kontakt i narudžbe: </w:t>
            </w:r>
            <w:hyperlink r:id="rId20" w:history="1">
              <w:r w:rsidRPr="007F530A">
                <w:rPr>
                  <w:rStyle w:val="Hiperveza"/>
                  <w:rFonts w:ascii="Arial" w:eastAsia="Times New Roman" w:hAnsi="Arial" w:cs="Arial"/>
                  <w:i/>
                  <w:sz w:val="18"/>
                  <w:szCs w:val="18"/>
                  <w:lang w:eastAsia="hr-HR"/>
                </w:rPr>
                <w:t>analize@fina.hr</w:t>
              </w:r>
            </w:hyperlink>
          </w:p>
          <w:p w:rsidR="00562D7A" w:rsidRPr="007F530A" w:rsidRDefault="00562D7A" w:rsidP="001F4A3E">
            <w:pPr>
              <w:spacing w:before="80" w:after="0" w:line="240" w:lineRule="auto"/>
              <w:jc w:val="both"/>
              <w:rPr>
                <w:rFonts w:ascii="Arial" w:eastAsia="Calibri" w:hAnsi="Arial" w:cs="Arial"/>
                <w:bCs/>
                <w:i/>
                <w:color w:val="0F243E"/>
                <w:sz w:val="18"/>
                <w:szCs w:val="18"/>
              </w:rPr>
            </w:pPr>
            <w:r w:rsidRPr="007F530A">
              <w:rPr>
                <w:rFonts w:ascii="Arial" w:eastAsia="Calibri" w:hAnsi="Arial" w:cs="Arial"/>
                <w:bCs/>
                <w:i/>
                <w:color w:val="244061" w:themeColor="accent1" w:themeShade="80"/>
                <w:sz w:val="18"/>
                <w:szCs w:val="18"/>
              </w:rPr>
              <w:t xml:space="preserve">Informacija o tome </w:t>
            </w:r>
            <w:r w:rsidRPr="007F530A">
              <w:rPr>
                <w:rFonts w:ascii="Arial" w:eastAsia="Calibri" w:hAnsi="Arial" w:cs="Arial"/>
                <w:b/>
                <w:bCs/>
                <w:i/>
                <w:color w:val="244061" w:themeColor="accent1" w:themeShade="80"/>
                <w:sz w:val="18"/>
                <w:szCs w:val="18"/>
              </w:rPr>
              <w:t>je li poslovni subjekt u blokadi ili ne</w:t>
            </w:r>
            <w:r w:rsidRPr="007F530A">
              <w:rPr>
                <w:rFonts w:ascii="Arial" w:eastAsia="Calibri" w:hAnsi="Arial" w:cs="Arial"/>
                <w:bCs/>
                <w:i/>
                <w:color w:val="244061" w:themeColor="accent1" w:themeShade="80"/>
                <w:sz w:val="18"/>
                <w:szCs w:val="18"/>
              </w:rPr>
              <w:t xml:space="preserve">, dostupna je korištenjem usluge </w:t>
            </w:r>
            <w:hyperlink r:id="rId21" w:history="1">
              <w:r w:rsidRPr="007F530A">
                <w:rPr>
                  <w:rStyle w:val="Hiperveza"/>
                  <w:rFonts w:ascii="Arial" w:eastAsia="Calibri" w:hAnsi="Arial" w:cs="Arial"/>
                  <w:bCs/>
                  <w:i/>
                  <w:color w:val="0000BF"/>
                  <w:sz w:val="18"/>
                  <w:szCs w:val="18"/>
                </w:rPr>
                <w:t>FINA InfoBlokade</w:t>
              </w:r>
            </w:hyperlink>
            <w:r w:rsidRPr="007F530A">
              <w:rPr>
                <w:rFonts w:ascii="Arial" w:eastAsia="Calibri" w:hAnsi="Arial" w:cs="Arial"/>
                <w:bCs/>
                <w:i/>
                <w:color w:val="17365D"/>
                <w:sz w:val="18"/>
                <w:szCs w:val="18"/>
              </w:rPr>
              <w:t xml:space="preserve"> </w:t>
            </w:r>
            <w:r w:rsidRPr="007F530A">
              <w:rPr>
                <w:rFonts w:ascii="Arial" w:eastAsia="Calibri" w:hAnsi="Arial" w:cs="Arial"/>
                <w:bCs/>
                <w:i/>
                <w:color w:val="244061" w:themeColor="accent1" w:themeShade="80"/>
                <w:sz w:val="18"/>
                <w:szCs w:val="18"/>
              </w:rPr>
              <w:t xml:space="preserve">slanjem SMS poruku na broj 818058 (cijena 10,00 kn + PDV) te korištenjem </w:t>
            </w:r>
            <w:hyperlink r:id="rId22" w:history="1">
              <w:r w:rsidRPr="007F530A">
                <w:rPr>
                  <w:rFonts w:ascii="Arial" w:eastAsia="Calibri" w:hAnsi="Arial" w:cs="Arial"/>
                  <w:bCs/>
                  <w:i/>
                  <w:color w:val="0000FF"/>
                  <w:sz w:val="18"/>
                  <w:szCs w:val="18"/>
                  <w:u w:val="single"/>
                </w:rPr>
                <w:t>WEB aplikacije JRR</w:t>
              </w:r>
            </w:hyperlink>
            <w:r w:rsidRPr="007F530A">
              <w:rPr>
                <w:rFonts w:ascii="Arial" w:eastAsia="Calibri" w:hAnsi="Arial" w:cs="Arial"/>
                <w:bCs/>
                <w:i/>
                <w:color w:val="17365D"/>
                <w:sz w:val="18"/>
                <w:szCs w:val="18"/>
              </w:rPr>
              <w:t xml:space="preserve"> </w:t>
            </w:r>
            <w:r w:rsidRPr="007F530A">
              <w:rPr>
                <w:rFonts w:ascii="Arial" w:eastAsia="Calibri" w:hAnsi="Arial" w:cs="Arial"/>
                <w:bCs/>
                <w:i/>
                <w:color w:val="244061" w:themeColor="accent1" w:themeShade="80"/>
                <w:sz w:val="18"/>
                <w:szCs w:val="18"/>
              </w:rPr>
              <w:t xml:space="preserve">(polugodišnja ili godišnja pretplata) tj. uvidom u podatke o računima i statusu blokade poslovnih subjekata, koji se ažuriraju u </w:t>
            </w:r>
            <w:hyperlink r:id="rId23" w:history="1">
              <w:r w:rsidRPr="007F530A">
                <w:rPr>
                  <w:rFonts w:ascii="Arial" w:eastAsia="Calibri" w:hAnsi="Arial" w:cs="Arial"/>
                  <w:bCs/>
                  <w:i/>
                  <w:color w:val="0000FF"/>
                  <w:sz w:val="18"/>
                  <w:szCs w:val="18"/>
                  <w:u w:val="single"/>
                </w:rPr>
                <w:t>Jedinstvenom registru računa</w:t>
              </w:r>
            </w:hyperlink>
            <w:r w:rsidRPr="007F530A">
              <w:rPr>
                <w:rFonts w:ascii="Arial" w:eastAsia="Calibri" w:hAnsi="Arial" w:cs="Arial"/>
                <w:bCs/>
                <w:i/>
                <w:color w:val="17365D"/>
                <w:sz w:val="18"/>
                <w:szCs w:val="18"/>
              </w:rPr>
              <w:t xml:space="preserve"> </w:t>
            </w:r>
            <w:r w:rsidRPr="007F530A">
              <w:rPr>
                <w:rFonts w:ascii="Arial" w:eastAsia="Calibri" w:hAnsi="Arial" w:cs="Arial"/>
                <w:bCs/>
                <w:i/>
                <w:color w:val="244061" w:themeColor="accent1" w:themeShade="80"/>
                <w:sz w:val="18"/>
                <w:szCs w:val="18"/>
              </w:rPr>
              <w:t xml:space="preserve">kojega u skladu sa zakonskim propisima, od 2002. godine, vodi </w:t>
            </w:r>
            <w:r w:rsidR="00266EA7" w:rsidRPr="007F530A">
              <w:rPr>
                <w:rFonts w:ascii="Arial" w:eastAsia="Calibri" w:hAnsi="Arial" w:cs="Arial"/>
                <w:bCs/>
                <w:i/>
                <w:color w:val="244061" w:themeColor="accent1" w:themeShade="80"/>
                <w:sz w:val="18"/>
                <w:szCs w:val="18"/>
              </w:rPr>
              <w:t>Fina</w:t>
            </w:r>
            <w:r w:rsidRPr="007F530A">
              <w:rPr>
                <w:rFonts w:ascii="Arial" w:eastAsia="Calibri" w:hAnsi="Arial" w:cs="Arial"/>
                <w:bCs/>
                <w:i/>
                <w:color w:val="244061" w:themeColor="accent1" w:themeShade="80"/>
                <w:sz w:val="18"/>
                <w:szCs w:val="18"/>
              </w:rPr>
              <w:t>.</w:t>
            </w:r>
          </w:p>
        </w:tc>
        <w:tc>
          <w:tcPr>
            <w:tcW w:w="1506" w:type="dxa"/>
            <w:vAlign w:val="center"/>
            <w:hideMark/>
          </w:tcPr>
          <w:p w:rsidR="00562D7A" w:rsidRPr="00562D7A" w:rsidRDefault="00562D7A" w:rsidP="00E91E7B">
            <w:pPr>
              <w:keepNext/>
              <w:spacing w:before="80" w:after="80" w:line="240" w:lineRule="auto"/>
              <w:jc w:val="center"/>
              <w:rPr>
                <w:rFonts w:ascii="Arial" w:eastAsia="Calibri" w:hAnsi="Arial" w:cs="Arial"/>
                <w:i/>
                <w:color w:val="0F243E"/>
                <w:sz w:val="19"/>
                <w:szCs w:val="19"/>
              </w:rPr>
            </w:pPr>
            <w:r w:rsidRPr="00562D7A">
              <w:rPr>
                <w:rFonts w:ascii="Arial" w:eastAsia="Calibri" w:hAnsi="Arial" w:cs="Arial"/>
                <w:bCs/>
                <w:i/>
                <w:noProof/>
                <w:color w:val="0F243E"/>
                <w:sz w:val="19"/>
                <w:szCs w:val="19"/>
                <w:lang w:eastAsia="hr-HR"/>
              </w:rPr>
              <w:drawing>
                <wp:inline distT="0" distB="0" distL="0" distR="0" wp14:anchorId="2444437E" wp14:editId="69DE008D">
                  <wp:extent cx="967452" cy="828000"/>
                  <wp:effectExtent l="0" t="0" r="444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452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7AF" w:rsidRPr="00802049" w:rsidRDefault="00E357AF" w:rsidP="00E91E7B">
      <w:pPr>
        <w:spacing w:after="0" w:line="240" w:lineRule="auto"/>
        <w:jc w:val="both"/>
        <w:rPr>
          <w:rFonts w:ascii="Arial" w:eastAsia="Calibri" w:hAnsi="Arial" w:cs="Arial"/>
          <w:color w:val="244061" w:themeColor="accent1" w:themeShade="80"/>
          <w:sz w:val="16"/>
          <w:szCs w:val="16"/>
        </w:rPr>
      </w:pPr>
    </w:p>
    <w:sectPr w:rsidR="00E357AF" w:rsidRPr="00802049" w:rsidSect="00A9775A">
      <w:headerReference w:type="default" r:id="rId25"/>
      <w:pgSz w:w="11906" w:h="16838"/>
      <w:pgMar w:top="1134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8E" w:rsidRDefault="00117B8E" w:rsidP="008E7389">
      <w:pPr>
        <w:spacing w:after="0" w:line="240" w:lineRule="auto"/>
      </w:pPr>
      <w:r>
        <w:separator/>
      </w:r>
    </w:p>
  </w:endnote>
  <w:endnote w:type="continuationSeparator" w:id="0">
    <w:p w:rsidR="00117B8E" w:rsidRDefault="00117B8E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8E" w:rsidRDefault="00117B8E" w:rsidP="008E7389">
      <w:pPr>
        <w:spacing w:after="0" w:line="240" w:lineRule="auto"/>
      </w:pPr>
      <w:r>
        <w:separator/>
      </w:r>
    </w:p>
  </w:footnote>
  <w:footnote w:type="continuationSeparator" w:id="0">
    <w:p w:rsidR="00117B8E" w:rsidRDefault="00117B8E" w:rsidP="008E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80E" w:rsidRDefault="0005280E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</wp:posOffset>
          </wp:positionH>
          <wp:positionV relativeFrom="paragraph">
            <wp:posOffset>-150495</wp:posOffset>
          </wp:positionV>
          <wp:extent cx="1085513" cy="216000"/>
          <wp:effectExtent l="0" t="0" r="635" b="0"/>
          <wp:wrapNone/>
          <wp:docPr id="4" name="Slika 4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B46CF"/>
    <w:multiLevelType w:val="hybridMultilevel"/>
    <w:tmpl w:val="5A5CF3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2298A"/>
    <w:rsid w:val="000318B8"/>
    <w:rsid w:val="000462BD"/>
    <w:rsid w:val="0005280E"/>
    <w:rsid w:val="00056009"/>
    <w:rsid w:val="000654C3"/>
    <w:rsid w:val="000702E8"/>
    <w:rsid w:val="000718BF"/>
    <w:rsid w:val="00073618"/>
    <w:rsid w:val="000820CA"/>
    <w:rsid w:val="00083A41"/>
    <w:rsid w:val="000977BA"/>
    <w:rsid w:val="000A2247"/>
    <w:rsid w:val="000A286F"/>
    <w:rsid w:val="000B4675"/>
    <w:rsid w:val="000C3EF1"/>
    <w:rsid w:val="000C7E4B"/>
    <w:rsid w:val="000D5304"/>
    <w:rsid w:val="000F2E7D"/>
    <w:rsid w:val="000F3063"/>
    <w:rsid w:val="00101C69"/>
    <w:rsid w:val="00117B8E"/>
    <w:rsid w:val="00135C85"/>
    <w:rsid w:val="001540B4"/>
    <w:rsid w:val="0015427A"/>
    <w:rsid w:val="00161E42"/>
    <w:rsid w:val="00171AC5"/>
    <w:rsid w:val="00177C71"/>
    <w:rsid w:val="001847F3"/>
    <w:rsid w:val="001938BD"/>
    <w:rsid w:val="00196919"/>
    <w:rsid w:val="001A4239"/>
    <w:rsid w:val="001B2274"/>
    <w:rsid w:val="001C6692"/>
    <w:rsid w:val="001D0923"/>
    <w:rsid w:val="001D766E"/>
    <w:rsid w:val="001D7E19"/>
    <w:rsid w:val="001E063E"/>
    <w:rsid w:val="001E0DAF"/>
    <w:rsid w:val="001E685C"/>
    <w:rsid w:val="001F4A3E"/>
    <w:rsid w:val="002033EB"/>
    <w:rsid w:val="00216B79"/>
    <w:rsid w:val="00223A9C"/>
    <w:rsid w:val="00223A9E"/>
    <w:rsid w:val="002304EB"/>
    <w:rsid w:val="002366DF"/>
    <w:rsid w:val="0025375D"/>
    <w:rsid w:val="00254C6A"/>
    <w:rsid w:val="00255895"/>
    <w:rsid w:val="00266EA7"/>
    <w:rsid w:val="0027247E"/>
    <w:rsid w:val="00276D16"/>
    <w:rsid w:val="00281C49"/>
    <w:rsid w:val="0028355D"/>
    <w:rsid w:val="00284417"/>
    <w:rsid w:val="00287160"/>
    <w:rsid w:val="00292457"/>
    <w:rsid w:val="00296F21"/>
    <w:rsid w:val="002A53CA"/>
    <w:rsid w:val="002A6D49"/>
    <w:rsid w:val="002B37A6"/>
    <w:rsid w:val="002C4E15"/>
    <w:rsid w:val="002D2D83"/>
    <w:rsid w:val="002E353B"/>
    <w:rsid w:val="002E657D"/>
    <w:rsid w:val="002F74A5"/>
    <w:rsid w:val="00312459"/>
    <w:rsid w:val="0032200A"/>
    <w:rsid w:val="003254DB"/>
    <w:rsid w:val="00331458"/>
    <w:rsid w:val="00354712"/>
    <w:rsid w:val="0036105B"/>
    <w:rsid w:val="00364A39"/>
    <w:rsid w:val="00376AA3"/>
    <w:rsid w:val="00377865"/>
    <w:rsid w:val="003B7206"/>
    <w:rsid w:val="003C0074"/>
    <w:rsid w:val="003C0891"/>
    <w:rsid w:val="003C116E"/>
    <w:rsid w:val="003C6C83"/>
    <w:rsid w:val="003C78DB"/>
    <w:rsid w:val="003D20ED"/>
    <w:rsid w:val="003F13E6"/>
    <w:rsid w:val="003F4937"/>
    <w:rsid w:val="004035C5"/>
    <w:rsid w:val="0041235B"/>
    <w:rsid w:val="0041351E"/>
    <w:rsid w:val="00414361"/>
    <w:rsid w:val="0041742E"/>
    <w:rsid w:val="0043181D"/>
    <w:rsid w:val="00436335"/>
    <w:rsid w:val="00443FFD"/>
    <w:rsid w:val="00450F23"/>
    <w:rsid w:val="00466FEA"/>
    <w:rsid w:val="004762F8"/>
    <w:rsid w:val="004922FF"/>
    <w:rsid w:val="00493204"/>
    <w:rsid w:val="004946AC"/>
    <w:rsid w:val="004B2260"/>
    <w:rsid w:val="004C7C6E"/>
    <w:rsid w:val="004D07C8"/>
    <w:rsid w:val="004D3F1F"/>
    <w:rsid w:val="004D5A6F"/>
    <w:rsid w:val="004F10EE"/>
    <w:rsid w:val="004F3E69"/>
    <w:rsid w:val="004F7B3C"/>
    <w:rsid w:val="00522540"/>
    <w:rsid w:val="00524225"/>
    <w:rsid w:val="005255DE"/>
    <w:rsid w:val="00527CD3"/>
    <w:rsid w:val="00527D2F"/>
    <w:rsid w:val="00537C1C"/>
    <w:rsid w:val="00562D7A"/>
    <w:rsid w:val="00563E04"/>
    <w:rsid w:val="005807A1"/>
    <w:rsid w:val="00583535"/>
    <w:rsid w:val="00587E84"/>
    <w:rsid w:val="00592D0E"/>
    <w:rsid w:val="00595D97"/>
    <w:rsid w:val="005A2FB9"/>
    <w:rsid w:val="005A6FE7"/>
    <w:rsid w:val="005D14AF"/>
    <w:rsid w:val="005D2525"/>
    <w:rsid w:val="005D34E7"/>
    <w:rsid w:val="00632811"/>
    <w:rsid w:val="00634BA9"/>
    <w:rsid w:val="00636FCF"/>
    <w:rsid w:val="006425C6"/>
    <w:rsid w:val="00642E86"/>
    <w:rsid w:val="006600AF"/>
    <w:rsid w:val="00666461"/>
    <w:rsid w:val="00672715"/>
    <w:rsid w:val="006A3AD3"/>
    <w:rsid w:val="006A66B5"/>
    <w:rsid w:val="006A7B0A"/>
    <w:rsid w:val="006C38AD"/>
    <w:rsid w:val="006D12F5"/>
    <w:rsid w:val="006D3627"/>
    <w:rsid w:val="006E42B8"/>
    <w:rsid w:val="006F2A8D"/>
    <w:rsid w:val="006F758A"/>
    <w:rsid w:val="006F78FA"/>
    <w:rsid w:val="00707780"/>
    <w:rsid w:val="00713E71"/>
    <w:rsid w:val="00733A0F"/>
    <w:rsid w:val="00743414"/>
    <w:rsid w:val="00744802"/>
    <w:rsid w:val="00753284"/>
    <w:rsid w:val="007568A3"/>
    <w:rsid w:val="0075696D"/>
    <w:rsid w:val="007575DE"/>
    <w:rsid w:val="00764E7C"/>
    <w:rsid w:val="00765899"/>
    <w:rsid w:val="00766A6E"/>
    <w:rsid w:val="00793E44"/>
    <w:rsid w:val="007A08C5"/>
    <w:rsid w:val="007B1D4D"/>
    <w:rsid w:val="007B4B27"/>
    <w:rsid w:val="007B70B2"/>
    <w:rsid w:val="007C257E"/>
    <w:rsid w:val="007D05AB"/>
    <w:rsid w:val="007D5301"/>
    <w:rsid w:val="007F341C"/>
    <w:rsid w:val="007F530A"/>
    <w:rsid w:val="007F67A5"/>
    <w:rsid w:val="00802049"/>
    <w:rsid w:val="00810B00"/>
    <w:rsid w:val="0081287F"/>
    <w:rsid w:val="00815DB3"/>
    <w:rsid w:val="00817CD5"/>
    <w:rsid w:val="008363CD"/>
    <w:rsid w:val="0084384B"/>
    <w:rsid w:val="00844442"/>
    <w:rsid w:val="008533B7"/>
    <w:rsid w:val="00857A4B"/>
    <w:rsid w:val="00863DA0"/>
    <w:rsid w:val="00865FBC"/>
    <w:rsid w:val="00867CC9"/>
    <w:rsid w:val="0089385C"/>
    <w:rsid w:val="008A0950"/>
    <w:rsid w:val="008A15B9"/>
    <w:rsid w:val="008A5A33"/>
    <w:rsid w:val="008B4E6F"/>
    <w:rsid w:val="008D40F3"/>
    <w:rsid w:val="008E15FF"/>
    <w:rsid w:val="008E7389"/>
    <w:rsid w:val="00901842"/>
    <w:rsid w:val="0090357F"/>
    <w:rsid w:val="00905837"/>
    <w:rsid w:val="00912F71"/>
    <w:rsid w:val="009159B6"/>
    <w:rsid w:val="00916B6F"/>
    <w:rsid w:val="00916C9B"/>
    <w:rsid w:val="00923F6E"/>
    <w:rsid w:val="0093312F"/>
    <w:rsid w:val="00936F86"/>
    <w:rsid w:val="00942359"/>
    <w:rsid w:val="009473A7"/>
    <w:rsid w:val="009505F5"/>
    <w:rsid w:val="00951B1A"/>
    <w:rsid w:val="00983E10"/>
    <w:rsid w:val="00984296"/>
    <w:rsid w:val="009937DD"/>
    <w:rsid w:val="00996FCE"/>
    <w:rsid w:val="009B017F"/>
    <w:rsid w:val="009B1921"/>
    <w:rsid w:val="009B352F"/>
    <w:rsid w:val="009C1464"/>
    <w:rsid w:val="009C2ABA"/>
    <w:rsid w:val="009D303A"/>
    <w:rsid w:val="009D3C43"/>
    <w:rsid w:val="009E13D0"/>
    <w:rsid w:val="009F28A3"/>
    <w:rsid w:val="00A01B26"/>
    <w:rsid w:val="00A03340"/>
    <w:rsid w:val="00A324E2"/>
    <w:rsid w:val="00A352A1"/>
    <w:rsid w:val="00A47220"/>
    <w:rsid w:val="00A564B1"/>
    <w:rsid w:val="00A56B89"/>
    <w:rsid w:val="00A71AE7"/>
    <w:rsid w:val="00A7379B"/>
    <w:rsid w:val="00A95E07"/>
    <w:rsid w:val="00A9775A"/>
    <w:rsid w:val="00AA53B6"/>
    <w:rsid w:val="00AC1EC9"/>
    <w:rsid w:val="00AD06D9"/>
    <w:rsid w:val="00AD0A58"/>
    <w:rsid w:val="00AD5C6C"/>
    <w:rsid w:val="00AF2059"/>
    <w:rsid w:val="00AF4340"/>
    <w:rsid w:val="00AF7320"/>
    <w:rsid w:val="00B205FA"/>
    <w:rsid w:val="00B24B8F"/>
    <w:rsid w:val="00B26ACB"/>
    <w:rsid w:val="00B32173"/>
    <w:rsid w:val="00B45452"/>
    <w:rsid w:val="00B50975"/>
    <w:rsid w:val="00B57D70"/>
    <w:rsid w:val="00B66275"/>
    <w:rsid w:val="00B701A1"/>
    <w:rsid w:val="00B73505"/>
    <w:rsid w:val="00B9772C"/>
    <w:rsid w:val="00BA4925"/>
    <w:rsid w:val="00BA5704"/>
    <w:rsid w:val="00BA6EC2"/>
    <w:rsid w:val="00BC0016"/>
    <w:rsid w:val="00BD2880"/>
    <w:rsid w:val="00BD2B78"/>
    <w:rsid w:val="00BF6698"/>
    <w:rsid w:val="00C023D2"/>
    <w:rsid w:val="00C0423D"/>
    <w:rsid w:val="00C0690E"/>
    <w:rsid w:val="00C11723"/>
    <w:rsid w:val="00C11F95"/>
    <w:rsid w:val="00C14081"/>
    <w:rsid w:val="00C343B3"/>
    <w:rsid w:val="00C45BA6"/>
    <w:rsid w:val="00C46354"/>
    <w:rsid w:val="00C61A83"/>
    <w:rsid w:val="00C62B06"/>
    <w:rsid w:val="00C6338A"/>
    <w:rsid w:val="00C77465"/>
    <w:rsid w:val="00C8090C"/>
    <w:rsid w:val="00C83F8B"/>
    <w:rsid w:val="00C8410D"/>
    <w:rsid w:val="00C84136"/>
    <w:rsid w:val="00C847D6"/>
    <w:rsid w:val="00C86F2D"/>
    <w:rsid w:val="00C910F9"/>
    <w:rsid w:val="00C92BA0"/>
    <w:rsid w:val="00CA0764"/>
    <w:rsid w:val="00CA3EFD"/>
    <w:rsid w:val="00CB3931"/>
    <w:rsid w:val="00CB4F88"/>
    <w:rsid w:val="00CC6C82"/>
    <w:rsid w:val="00CD1DBF"/>
    <w:rsid w:val="00CE2E5E"/>
    <w:rsid w:val="00CE4FEA"/>
    <w:rsid w:val="00CF2BE0"/>
    <w:rsid w:val="00CF349A"/>
    <w:rsid w:val="00CF5A62"/>
    <w:rsid w:val="00D1505F"/>
    <w:rsid w:val="00D163D5"/>
    <w:rsid w:val="00D20901"/>
    <w:rsid w:val="00D22312"/>
    <w:rsid w:val="00D37D23"/>
    <w:rsid w:val="00D37DCB"/>
    <w:rsid w:val="00D44604"/>
    <w:rsid w:val="00D459C2"/>
    <w:rsid w:val="00D46815"/>
    <w:rsid w:val="00D55F4A"/>
    <w:rsid w:val="00D7104E"/>
    <w:rsid w:val="00D827B9"/>
    <w:rsid w:val="00D82B29"/>
    <w:rsid w:val="00D869A4"/>
    <w:rsid w:val="00D95665"/>
    <w:rsid w:val="00DA09F2"/>
    <w:rsid w:val="00DA2A99"/>
    <w:rsid w:val="00DB19AA"/>
    <w:rsid w:val="00DB1D08"/>
    <w:rsid w:val="00DB5D5C"/>
    <w:rsid w:val="00DB6FBC"/>
    <w:rsid w:val="00DC7485"/>
    <w:rsid w:val="00DD6AA5"/>
    <w:rsid w:val="00DD7687"/>
    <w:rsid w:val="00DD7B7C"/>
    <w:rsid w:val="00DE46DC"/>
    <w:rsid w:val="00DF0CE0"/>
    <w:rsid w:val="00DF532C"/>
    <w:rsid w:val="00E0420B"/>
    <w:rsid w:val="00E134A9"/>
    <w:rsid w:val="00E1622B"/>
    <w:rsid w:val="00E1665F"/>
    <w:rsid w:val="00E238D3"/>
    <w:rsid w:val="00E353DE"/>
    <w:rsid w:val="00E357AF"/>
    <w:rsid w:val="00E455CE"/>
    <w:rsid w:val="00E5349B"/>
    <w:rsid w:val="00E55289"/>
    <w:rsid w:val="00E6539B"/>
    <w:rsid w:val="00E74065"/>
    <w:rsid w:val="00E75FD8"/>
    <w:rsid w:val="00E8585D"/>
    <w:rsid w:val="00E91E7B"/>
    <w:rsid w:val="00E97FC9"/>
    <w:rsid w:val="00EA473B"/>
    <w:rsid w:val="00EA6F2F"/>
    <w:rsid w:val="00EB012C"/>
    <w:rsid w:val="00EB13A9"/>
    <w:rsid w:val="00EB39F4"/>
    <w:rsid w:val="00EB73A1"/>
    <w:rsid w:val="00ED26D1"/>
    <w:rsid w:val="00EF6B8E"/>
    <w:rsid w:val="00F0267F"/>
    <w:rsid w:val="00F0302C"/>
    <w:rsid w:val="00F10F22"/>
    <w:rsid w:val="00F11B58"/>
    <w:rsid w:val="00F33642"/>
    <w:rsid w:val="00F33A7C"/>
    <w:rsid w:val="00F369FE"/>
    <w:rsid w:val="00F3759C"/>
    <w:rsid w:val="00F44AA0"/>
    <w:rsid w:val="00F56A6D"/>
    <w:rsid w:val="00F57E72"/>
    <w:rsid w:val="00F65560"/>
    <w:rsid w:val="00F72860"/>
    <w:rsid w:val="00F81216"/>
    <w:rsid w:val="00F824DC"/>
    <w:rsid w:val="00FC4822"/>
    <w:rsid w:val="00FC4A9D"/>
    <w:rsid w:val="00FC71E4"/>
    <w:rsid w:val="00FD3DCC"/>
    <w:rsid w:val="00FE4F1E"/>
    <w:rsid w:val="00FF29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67A5"/>
  </w:style>
  <w:style w:type="paragraph" w:styleId="Podnoje">
    <w:name w:val="footer"/>
    <w:basedOn w:val="Normal"/>
    <w:link w:val="Podnoje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67A5"/>
  </w:style>
  <w:style w:type="paragraph" w:styleId="Odlomakpopisa">
    <w:name w:val="List Paragraph"/>
    <w:basedOn w:val="Normal"/>
    <w:uiPriority w:val="34"/>
    <w:qFormat/>
    <w:rsid w:val="006E42B8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473A7"/>
    <w:rPr>
      <w:color w:val="800080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562D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67A5"/>
  </w:style>
  <w:style w:type="paragraph" w:styleId="Podnoje">
    <w:name w:val="footer"/>
    <w:basedOn w:val="Normal"/>
    <w:link w:val="PodnojeChar"/>
    <w:uiPriority w:val="99"/>
    <w:unhideWhenUsed/>
    <w:rsid w:val="007F6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67A5"/>
  </w:style>
  <w:style w:type="paragraph" w:styleId="Odlomakpopisa">
    <w:name w:val="List Paragraph"/>
    <w:basedOn w:val="Normal"/>
    <w:uiPriority w:val="34"/>
    <w:qFormat/>
    <w:rsid w:val="006E42B8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473A7"/>
    <w:rPr>
      <w:color w:val="800080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562D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2937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56544">
                          <w:marLeft w:val="0"/>
                          <w:marRight w:val="0"/>
                          <w:marTop w:val="0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05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5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82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5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8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nsparentno.hr/pregled/74204012744/d051305862f1efa28e5576912ff7b2a10fff4b3f307180aa1d35e463d26a799ebe645f888487d542c44dad054c5ac0f6bc61de2533324e1cc39b427680a1df15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rgfi.fina.hr/JavnaObjava-web/jsp/prijavaKorisnika.js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44952903763/f19b8249e02cd8b6f8aa6bdd86fb58d892e3215be0dbb043299bd601783a3b8423e048540bc360e2344e1bd5cbb94e2f913617c4d3be21b3da54c67d77ba7f73" TargetMode="External"/><Relationship Id="rId17" Type="http://schemas.openxmlformats.org/officeDocument/2006/relationships/hyperlink" Target="https://www.transparentno.hr/pregled/82982183368/5bc54596e83581d9a299932f0e1e5a9119c3b430df7a2bf93be2afbe69e2f6a48cc5dca0a9bb8616beb026d2065c66bb1240d0e0dc609732c048a430b1845c74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44952903763/f19b8249e02cd8b6f8aa6bdd86fb58d892e3215be0dbb043299bd601783a3b8423e048540bc360e2344e1bd5cbb94e2f913617c4d3be21b3da54c67d77ba7f73" TargetMode="External"/><Relationship Id="rId20" Type="http://schemas.openxmlformats.org/officeDocument/2006/relationships/hyperlink" Target="mailto:analize@fina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23268154531/a31c422c78cffe66c7a9aee583f61c60a1edadfd0b27fe8a028b9262ed5503b3300508f31ab8137fdd90d2881115e6d32ff67eb6dd241588225c692ac55f2c19" TargetMode="External"/><Relationship Id="rId24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23268154531/a31c422c78cffe66c7a9aee583f61c60a1edadfd0b27fe8a028b9262ed5503b3300508f31ab8137fdd90d2881115e6d32ff67eb6dd241588225c692ac55f2c19" TargetMode="External"/><Relationship Id="rId23" Type="http://schemas.openxmlformats.org/officeDocument/2006/relationships/hyperlink" Target="http://www.fina.hr/Default.aspx?sec=972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02964137348/5fed3d7bb60cd2e21c0293d1a43dc011aea875aecfa86c5486387d1635686e2d22b4e7ce6b3e7ee107c74d40260d02deea5bd1ec68eb4985952b9a7fff2c3779" TargetMode="External"/><Relationship Id="rId22" Type="http://schemas.openxmlformats.org/officeDocument/2006/relationships/hyperlink" Target="https://jrr.fina.hr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0A8E-B326-4EA5-94E1-0A624A32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1452</Words>
  <Characters>8278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Kavur</cp:lastModifiedBy>
  <cp:revision>9</cp:revision>
  <cp:lastPrinted>2015-09-11T12:33:00Z</cp:lastPrinted>
  <dcterms:created xsi:type="dcterms:W3CDTF">2018-11-21T17:55:00Z</dcterms:created>
  <dcterms:modified xsi:type="dcterms:W3CDTF">2018-11-21T18:21:00Z</dcterms:modified>
</cp:coreProperties>
</file>