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73" w:rsidRPr="00B04BFA" w:rsidRDefault="002C23FA" w:rsidP="00B04BFA">
      <w:pPr>
        <w:widowControl w:val="0"/>
        <w:tabs>
          <w:tab w:val="left" w:pos="0"/>
          <w:tab w:val="left" w:pos="8505"/>
        </w:tabs>
        <w:spacing w:before="0" w:after="120"/>
        <w:jc w:val="center"/>
        <w:outlineLvl w:val="1"/>
        <w:rPr>
          <w:b/>
          <w:color w:val="244061" w:themeColor="accent1" w:themeShade="80"/>
          <w:sz w:val="20"/>
        </w:rPr>
      </w:pPr>
      <w:r>
        <w:rPr>
          <w:b/>
          <w:color w:val="244061" w:themeColor="accent1" w:themeShade="80"/>
          <w:sz w:val="20"/>
        </w:rPr>
        <w:t xml:space="preserve">REZULTATI PODUZETNIKA SA SJEDIŠTEM U </w:t>
      </w:r>
      <w:r w:rsidR="004D314D" w:rsidRPr="00B04BFA">
        <w:rPr>
          <w:b/>
          <w:color w:val="244061" w:themeColor="accent1" w:themeShade="80"/>
          <w:sz w:val="20"/>
        </w:rPr>
        <w:t xml:space="preserve">URBANOJ AGLOMERACIJI SPLIT </w:t>
      </w:r>
      <w:r>
        <w:rPr>
          <w:b/>
          <w:color w:val="244061" w:themeColor="accent1" w:themeShade="80"/>
          <w:sz w:val="20"/>
        </w:rPr>
        <w:t>U 201</w:t>
      </w:r>
      <w:r w:rsidR="002D009C">
        <w:rPr>
          <w:b/>
          <w:color w:val="244061" w:themeColor="accent1" w:themeShade="80"/>
          <w:sz w:val="20"/>
        </w:rPr>
        <w:t>7</w:t>
      </w:r>
      <w:r>
        <w:rPr>
          <w:b/>
          <w:color w:val="244061" w:themeColor="accent1" w:themeShade="80"/>
          <w:sz w:val="20"/>
        </w:rPr>
        <w:t>. GODINI</w:t>
      </w:r>
    </w:p>
    <w:p w:rsidR="000C55F1" w:rsidRDefault="00233A9C" w:rsidP="00B04BFA">
      <w:pPr>
        <w:tabs>
          <w:tab w:val="left" w:pos="567"/>
        </w:tabs>
        <w:spacing w:before="0" w:line="276" w:lineRule="auto"/>
        <w:rPr>
          <w:rFonts w:cs="Arial"/>
          <w:color w:val="244061"/>
          <w:sz w:val="20"/>
        </w:rPr>
      </w:pPr>
      <w:r>
        <w:rPr>
          <w:rFonts w:cs="Arial"/>
          <w:color w:val="244061" w:themeColor="accent1" w:themeShade="80"/>
          <w:sz w:val="20"/>
        </w:rPr>
        <w:t xml:space="preserve">Prije više od </w:t>
      </w:r>
      <w:r w:rsidR="002D009C">
        <w:rPr>
          <w:rFonts w:cs="Arial"/>
          <w:color w:val="244061" w:themeColor="accent1" w:themeShade="80"/>
          <w:sz w:val="20"/>
        </w:rPr>
        <w:t>tri</w:t>
      </w:r>
      <w:r>
        <w:rPr>
          <w:rFonts w:cs="Arial"/>
          <w:color w:val="244061" w:themeColor="accent1" w:themeShade="80"/>
          <w:sz w:val="20"/>
        </w:rPr>
        <w:t xml:space="preserve"> godine, (30. studenoga 2015. godine), o</w:t>
      </w:r>
      <w:r w:rsidR="00E65163" w:rsidRPr="00DA69EB">
        <w:rPr>
          <w:rFonts w:cs="Arial"/>
          <w:color w:val="244061" w:themeColor="accent1" w:themeShade="80"/>
          <w:sz w:val="20"/>
        </w:rPr>
        <w:t>dlukom Ministarstva regionalnoga razvoja i fondova Europske</w:t>
      </w:r>
      <w:r>
        <w:rPr>
          <w:rFonts w:cs="Arial"/>
          <w:color w:val="244061" w:themeColor="accent1" w:themeShade="80"/>
          <w:sz w:val="20"/>
        </w:rPr>
        <w:t xml:space="preserve"> unije</w:t>
      </w:r>
      <w:r w:rsidR="00E65163" w:rsidRPr="00DA69EB">
        <w:rPr>
          <w:rFonts w:cs="Arial"/>
          <w:color w:val="244061" w:themeColor="accent1" w:themeShade="80"/>
          <w:sz w:val="20"/>
        </w:rPr>
        <w:t xml:space="preserve">, ustrojena je Urbana aglomeracija </w:t>
      </w:r>
      <w:r w:rsidR="006E4445">
        <w:rPr>
          <w:rFonts w:cs="Arial"/>
          <w:color w:val="244061" w:themeColor="accent1" w:themeShade="80"/>
          <w:sz w:val="20"/>
        </w:rPr>
        <w:t>Split</w:t>
      </w:r>
      <w:r w:rsidR="001A777A">
        <w:rPr>
          <w:rStyle w:val="Referencafusnote"/>
          <w:color w:val="244061" w:themeColor="accent1" w:themeShade="80"/>
          <w:sz w:val="20"/>
        </w:rPr>
        <w:footnoteReference w:id="1"/>
      </w:r>
      <w:r w:rsidR="00C87485">
        <w:rPr>
          <w:rFonts w:cs="Arial"/>
          <w:color w:val="244061" w:themeColor="accent1" w:themeShade="80"/>
          <w:sz w:val="20"/>
        </w:rPr>
        <w:t>.</w:t>
      </w:r>
      <w:r w:rsidR="00E65163" w:rsidRPr="00DA69EB">
        <w:rPr>
          <w:rFonts w:cs="Arial"/>
          <w:color w:val="244061" w:themeColor="accent1" w:themeShade="80"/>
          <w:sz w:val="20"/>
        </w:rPr>
        <w:t xml:space="preserve"> </w:t>
      </w:r>
      <w:r>
        <w:rPr>
          <w:rFonts w:cs="Arial"/>
          <w:color w:val="244061" w:themeColor="accent1" w:themeShade="80"/>
          <w:sz w:val="20"/>
        </w:rPr>
        <w:t>O</w:t>
      </w:r>
      <w:r w:rsidR="007504A3">
        <w:rPr>
          <w:rFonts w:cs="Arial"/>
          <w:color w:val="244061" w:themeColor="accent1" w:themeShade="80"/>
          <w:sz w:val="20"/>
        </w:rPr>
        <w:t>d ukupno 55 gradova i općina Splitsko-dalmatinske županije</w:t>
      </w:r>
      <w:r w:rsidR="00AB6472">
        <w:rPr>
          <w:rFonts w:cs="Arial"/>
          <w:color w:val="244061" w:themeColor="accent1" w:themeShade="80"/>
          <w:sz w:val="20"/>
        </w:rPr>
        <w:t>,</w:t>
      </w:r>
      <w:r>
        <w:rPr>
          <w:rFonts w:cs="Arial"/>
          <w:color w:val="244061" w:themeColor="accent1" w:themeShade="80"/>
          <w:sz w:val="20"/>
        </w:rPr>
        <w:t xml:space="preserve"> Urbanom aglomeracijom Split obuhvać</w:t>
      </w:r>
      <w:r w:rsidR="00AB6472">
        <w:rPr>
          <w:rFonts w:cs="Arial"/>
          <w:color w:val="244061" w:themeColor="accent1" w:themeShade="80"/>
          <w:sz w:val="20"/>
        </w:rPr>
        <w:t xml:space="preserve">eno je </w:t>
      </w:r>
      <w:r>
        <w:rPr>
          <w:rFonts w:cs="Arial"/>
          <w:color w:val="244061" w:themeColor="accent1" w:themeShade="80"/>
          <w:sz w:val="20"/>
        </w:rPr>
        <w:t>13</w:t>
      </w:r>
      <w:r w:rsidR="00AB6472">
        <w:rPr>
          <w:rFonts w:cs="Arial"/>
          <w:color w:val="244061" w:themeColor="accent1" w:themeShade="80"/>
          <w:sz w:val="20"/>
        </w:rPr>
        <w:t xml:space="preserve"> jedinica</w:t>
      </w:r>
      <w:r w:rsidR="007504A3">
        <w:rPr>
          <w:rFonts w:cs="Arial"/>
          <w:color w:val="244061" w:themeColor="accent1" w:themeShade="80"/>
          <w:sz w:val="20"/>
        </w:rPr>
        <w:t>, i to</w:t>
      </w:r>
      <w:r w:rsidR="00E65163" w:rsidRPr="00DA69EB">
        <w:rPr>
          <w:rFonts w:cs="Arial"/>
          <w:color w:val="244061" w:themeColor="accent1" w:themeShade="80"/>
          <w:sz w:val="20"/>
        </w:rPr>
        <w:t xml:space="preserve">: </w:t>
      </w:r>
      <w:r w:rsidR="00940AE9">
        <w:rPr>
          <w:rFonts w:cs="Arial"/>
          <w:color w:val="244061" w:themeColor="accent1" w:themeShade="80"/>
          <w:sz w:val="20"/>
        </w:rPr>
        <w:t>6 gradova (</w:t>
      </w:r>
      <w:r w:rsidR="006E4445">
        <w:rPr>
          <w:rFonts w:cs="Arial"/>
          <w:color w:val="244061" w:themeColor="accent1" w:themeShade="80"/>
          <w:sz w:val="20"/>
        </w:rPr>
        <w:t xml:space="preserve">Split, </w:t>
      </w:r>
      <w:r w:rsidR="006E4445" w:rsidRPr="00DA543F">
        <w:rPr>
          <w:rFonts w:cs="Arial"/>
          <w:color w:val="244061" w:themeColor="accent1" w:themeShade="80"/>
          <w:sz w:val="20"/>
        </w:rPr>
        <w:t xml:space="preserve">Kaštela, </w:t>
      </w:r>
      <w:r w:rsidR="006E4445">
        <w:rPr>
          <w:rFonts w:cs="Arial"/>
          <w:color w:val="244061" w:themeColor="accent1" w:themeShade="80"/>
          <w:sz w:val="20"/>
        </w:rPr>
        <w:t>Omiš,</w:t>
      </w:r>
      <w:r w:rsidR="006E4445" w:rsidRPr="00DA543F">
        <w:rPr>
          <w:rFonts w:cs="Arial"/>
          <w:color w:val="244061" w:themeColor="accent1" w:themeShade="80"/>
          <w:sz w:val="20"/>
        </w:rPr>
        <w:t xml:space="preserve"> </w:t>
      </w:r>
      <w:r w:rsidR="006E4445" w:rsidRPr="00172B87">
        <w:rPr>
          <w:rFonts w:cs="Arial"/>
          <w:color w:val="244061" w:themeColor="accent1" w:themeShade="80"/>
          <w:sz w:val="20"/>
        </w:rPr>
        <w:t>Sinj, Solin</w:t>
      </w:r>
      <w:r w:rsidR="006E4445">
        <w:rPr>
          <w:rFonts w:cs="Arial"/>
          <w:color w:val="244061" w:themeColor="accent1" w:themeShade="80"/>
          <w:sz w:val="20"/>
        </w:rPr>
        <w:t xml:space="preserve"> i</w:t>
      </w:r>
      <w:r w:rsidR="006E4445" w:rsidRPr="00172B87">
        <w:rPr>
          <w:rFonts w:cs="Arial"/>
          <w:color w:val="244061" w:themeColor="accent1" w:themeShade="80"/>
          <w:sz w:val="20"/>
        </w:rPr>
        <w:t xml:space="preserve"> Trogir</w:t>
      </w:r>
      <w:r w:rsidR="00940AE9">
        <w:rPr>
          <w:rFonts w:cs="Arial"/>
          <w:color w:val="244061" w:themeColor="accent1" w:themeShade="80"/>
          <w:sz w:val="20"/>
        </w:rPr>
        <w:t>) i 7 općina (</w:t>
      </w:r>
      <w:r w:rsidR="006E4445" w:rsidRPr="00DA543F">
        <w:rPr>
          <w:rFonts w:cs="Arial"/>
          <w:color w:val="244061" w:themeColor="accent1" w:themeShade="80"/>
          <w:sz w:val="20"/>
        </w:rPr>
        <w:t>Dicm</w:t>
      </w:r>
      <w:r w:rsidR="006E4445">
        <w:rPr>
          <w:rFonts w:cs="Arial"/>
          <w:color w:val="244061" w:themeColor="accent1" w:themeShade="80"/>
          <w:sz w:val="20"/>
        </w:rPr>
        <w:t>o</w:t>
      </w:r>
      <w:r w:rsidR="006E4445" w:rsidRPr="00DA543F">
        <w:rPr>
          <w:rFonts w:cs="Arial"/>
          <w:color w:val="244061" w:themeColor="accent1" w:themeShade="80"/>
          <w:sz w:val="20"/>
        </w:rPr>
        <w:t>, Dug</w:t>
      </w:r>
      <w:r w:rsidR="006E4445">
        <w:rPr>
          <w:rFonts w:cs="Arial"/>
          <w:color w:val="244061" w:themeColor="accent1" w:themeShade="80"/>
          <w:sz w:val="20"/>
        </w:rPr>
        <w:t>i</w:t>
      </w:r>
      <w:r w:rsidR="006E4445" w:rsidRPr="00DA543F">
        <w:rPr>
          <w:rFonts w:cs="Arial"/>
          <w:color w:val="244061" w:themeColor="accent1" w:themeShade="80"/>
          <w:sz w:val="20"/>
        </w:rPr>
        <w:t xml:space="preserve"> rat</w:t>
      </w:r>
      <w:r w:rsidR="006E4445">
        <w:rPr>
          <w:rFonts w:cs="Arial"/>
          <w:color w:val="244061" w:themeColor="accent1" w:themeShade="80"/>
          <w:sz w:val="20"/>
        </w:rPr>
        <w:t>, Dugopolje</w:t>
      </w:r>
      <w:r w:rsidR="006E4445" w:rsidRPr="00DA543F">
        <w:rPr>
          <w:rFonts w:cs="Arial"/>
          <w:color w:val="244061" w:themeColor="accent1" w:themeShade="80"/>
          <w:sz w:val="20"/>
        </w:rPr>
        <w:t>, Klis, Lećevic</w:t>
      </w:r>
      <w:r w:rsidR="006E4445">
        <w:rPr>
          <w:rFonts w:cs="Arial"/>
          <w:color w:val="244061" w:themeColor="accent1" w:themeShade="80"/>
          <w:sz w:val="20"/>
        </w:rPr>
        <w:t>a</w:t>
      </w:r>
      <w:r w:rsidR="006E4445" w:rsidRPr="00DA543F">
        <w:rPr>
          <w:rFonts w:cs="Arial"/>
          <w:color w:val="244061" w:themeColor="accent1" w:themeShade="80"/>
          <w:sz w:val="20"/>
        </w:rPr>
        <w:t>, Muć</w:t>
      </w:r>
      <w:r w:rsidR="006E4445">
        <w:rPr>
          <w:rFonts w:cs="Arial"/>
          <w:color w:val="244061" w:themeColor="accent1" w:themeShade="80"/>
          <w:sz w:val="20"/>
        </w:rPr>
        <w:t xml:space="preserve"> i </w:t>
      </w:r>
      <w:r w:rsidR="006E4445" w:rsidRPr="00DA543F">
        <w:rPr>
          <w:rFonts w:cs="Arial"/>
          <w:color w:val="244061" w:themeColor="accent1" w:themeShade="80"/>
          <w:sz w:val="20"/>
        </w:rPr>
        <w:t>Podstran</w:t>
      </w:r>
      <w:r w:rsidR="006E4445">
        <w:rPr>
          <w:rFonts w:cs="Arial"/>
          <w:color w:val="244061" w:themeColor="accent1" w:themeShade="80"/>
          <w:sz w:val="20"/>
        </w:rPr>
        <w:t>a</w:t>
      </w:r>
      <w:r w:rsidR="00940AE9">
        <w:rPr>
          <w:rFonts w:cs="Arial"/>
          <w:color w:val="244061" w:themeColor="accent1" w:themeShade="80"/>
          <w:sz w:val="20"/>
        </w:rPr>
        <w:t>).</w:t>
      </w:r>
      <w:r w:rsidR="001A777A">
        <w:rPr>
          <w:rStyle w:val="Referencafusnote"/>
          <w:color w:val="244061"/>
          <w:sz w:val="20"/>
        </w:rPr>
        <w:footnoteReference w:id="2"/>
      </w:r>
    </w:p>
    <w:p w:rsidR="003E42C5" w:rsidRPr="004E7591" w:rsidRDefault="003E42C5" w:rsidP="009E1CD1">
      <w:pPr>
        <w:tabs>
          <w:tab w:val="left" w:pos="567"/>
        </w:tabs>
        <w:rPr>
          <w:rFonts w:cs="Arial"/>
          <w:b/>
          <w:color w:val="244061"/>
          <w:sz w:val="18"/>
          <w:szCs w:val="18"/>
        </w:rPr>
      </w:pPr>
      <w:r w:rsidRPr="004E7591">
        <w:rPr>
          <w:rFonts w:cs="Arial"/>
          <w:b/>
          <w:color w:val="244061"/>
          <w:sz w:val="18"/>
          <w:szCs w:val="18"/>
        </w:rPr>
        <w:t>Shema 1</w:t>
      </w:r>
      <w:r w:rsidRPr="004E7591">
        <w:rPr>
          <w:rFonts w:cs="Arial"/>
          <w:color w:val="244061"/>
          <w:sz w:val="18"/>
          <w:szCs w:val="18"/>
        </w:rPr>
        <w:t xml:space="preserve">.   </w:t>
      </w:r>
      <w:r w:rsidRPr="004E7591">
        <w:rPr>
          <w:rFonts w:cs="Arial"/>
          <w:b/>
          <w:color w:val="244061"/>
          <w:sz w:val="18"/>
          <w:szCs w:val="18"/>
        </w:rPr>
        <w:t>Područje Urbane aglomeracije Split</w:t>
      </w:r>
    </w:p>
    <w:tbl>
      <w:tblPr>
        <w:tblW w:w="9832" w:type="dxa"/>
        <w:jc w:val="center"/>
        <w:tblInd w:w="-34" w:type="dxa"/>
        <w:tblLook w:val="04A0" w:firstRow="1" w:lastRow="0" w:firstColumn="1" w:lastColumn="0" w:noHBand="0" w:noVBand="1"/>
      </w:tblPr>
      <w:tblGrid>
        <w:gridCol w:w="4241"/>
        <w:gridCol w:w="5591"/>
      </w:tblGrid>
      <w:tr w:rsidR="00AA30C7" w:rsidTr="008829EE">
        <w:trPr>
          <w:trHeight w:val="3148"/>
          <w:jc w:val="center"/>
        </w:trPr>
        <w:tc>
          <w:tcPr>
            <w:tcW w:w="4241" w:type="dxa"/>
            <w:vAlign w:val="center"/>
          </w:tcPr>
          <w:p w:rsidR="00AA30C7" w:rsidRPr="00BC332B" w:rsidRDefault="00E57196" w:rsidP="00911E72">
            <w:pPr>
              <w:tabs>
                <w:tab w:val="left" w:pos="709"/>
              </w:tabs>
              <w:spacing w:before="0"/>
              <w:jc w:val="left"/>
              <w:rPr>
                <w:rFonts w:eastAsia="Calibri" w:cs="Arial"/>
                <w:color w:val="244061"/>
                <w:sz w:val="18"/>
                <w:szCs w:val="18"/>
                <w:lang w:eastAsia="en-US"/>
              </w:rPr>
            </w:pPr>
            <w:r>
              <w:rPr>
                <w:rFonts w:cs="Arial"/>
                <w:noProof/>
                <w:color w:val="0000FF"/>
                <w:sz w:val="27"/>
                <w:szCs w:val="27"/>
              </w:rPr>
              <w:drawing>
                <wp:inline distT="0" distB="0" distL="0" distR="0" wp14:anchorId="1C6D27C4" wp14:editId="229B5A74">
                  <wp:extent cx="2556000" cy="2088000"/>
                  <wp:effectExtent l="0" t="0" r="0" b="7620"/>
                  <wp:docPr id="2" name="Picture 2" descr="Slikovni rezultat za urbana aglomeracija split">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likovni rezultat za urbana aglomeracija spl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6000" cy="2088000"/>
                          </a:xfrm>
                          <a:prstGeom prst="rect">
                            <a:avLst/>
                          </a:prstGeom>
                          <a:noFill/>
                          <a:ln>
                            <a:noFill/>
                          </a:ln>
                        </pic:spPr>
                      </pic:pic>
                    </a:graphicData>
                  </a:graphic>
                </wp:inline>
              </w:drawing>
            </w:r>
          </w:p>
        </w:tc>
        <w:tc>
          <w:tcPr>
            <w:tcW w:w="5591" w:type="dxa"/>
          </w:tcPr>
          <w:p w:rsidR="00165A36" w:rsidRPr="00940AE9" w:rsidRDefault="00B04BFA" w:rsidP="0061713D">
            <w:pPr>
              <w:tabs>
                <w:tab w:val="left" w:pos="567"/>
              </w:tabs>
              <w:spacing w:before="0" w:line="276" w:lineRule="auto"/>
              <w:rPr>
                <w:rFonts w:eastAsia="Calibri" w:cs="Arial"/>
                <w:color w:val="244061" w:themeColor="accent1" w:themeShade="80"/>
                <w:sz w:val="20"/>
                <w:lang w:eastAsia="en-US"/>
              </w:rPr>
            </w:pPr>
            <w:r>
              <w:rPr>
                <w:rFonts w:eastAsia="Calibri" w:cs="Arial"/>
                <w:color w:val="244061" w:themeColor="accent1" w:themeShade="80"/>
                <w:sz w:val="20"/>
                <w:lang w:eastAsia="en-US"/>
              </w:rPr>
              <w:t>U</w:t>
            </w:r>
            <w:r w:rsidRPr="00B04BFA">
              <w:rPr>
                <w:rFonts w:eastAsia="Calibri" w:cs="Arial"/>
                <w:color w:val="244061" w:themeColor="accent1" w:themeShade="80"/>
                <w:sz w:val="20"/>
                <w:lang w:eastAsia="en-US"/>
              </w:rPr>
              <w:t xml:space="preserve"> 201</w:t>
            </w:r>
            <w:r w:rsidR="002D009C">
              <w:rPr>
                <w:rFonts w:eastAsia="Calibri" w:cs="Arial"/>
                <w:color w:val="244061" w:themeColor="accent1" w:themeShade="80"/>
                <w:sz w:val="20"/>
                <w:lang w:eastAsia="en-US"/>
              </w:rPr>
              <w:t>7</w:t>
            </w:r>
            <w:r w:rsidRPr="00EB18D3">
              <w:rPr>
                <w:rFonts w:eastAsia="Calibri" w:cs="Arial"/>
                <w:color w:val="244061" w:themeColor="accent1" w:themeShade="80"/>
                <w:sz w:val="20"/>
                <w:lang w:eastAsia="en-US"/>
              </w:rPr>
              <w:t>. godini n</w:t>
            </w:r>
            <w:r w:rsidR="00AA30C7" w:rsidRPr="00EB18D3">
              <w:rPr>
                <w:rFonts w:eastAsia="Calibri" w:cs="Arial"/>
                <w:color w:val="244061" w:themeColor="accent1" w:themeShade="80"/>
                <w:sz w:val="20"/>
                <w:lang w:eastAsia="en-US"/>
              </w:rPr>
              <w:t>a području šest gradova i sedam općina obuhvaćen</w:t>
            </w:r>
            <w:r w:rsidR="00165A36" w:rsidRPr="00EB18D3">
              <w:rPr>
                <w:rFonts w:eastAsia="Calibri" w:cs="Arial"/>
                <w:color w:val="244061" w:themeColor="accent1" w:themeShade="80"/>
                <w:sz w:val="20"/>
                <w:lang w:eastAsia="en-US"/>
              </w:rPr>
              <w:t>ih</w:t>
            </w:r>
            <w:r w:rsidR="00AA30C7" w:rsidRPr="00EB18D3">
              <w:rPr>
                <w:rFonts w:eastAsia="Calibri" w:cs="Arial"/>
                <w:color w:val="244061" w:themeColor="accent1" w:themeShade="80"/>
                <w:sz w:val="20"/>
                <w:lang w:eastAsia="en-US"/>
              </w:rPr>
              <w:t xml:space="preserve"> Urban</w:t>
            </w:r>
            <w:r w:rsidR="00165A36" w:rsidRPr="00EB18D3">
              <w:rPr>
                <w:rFonts w:eastAsia="Calibri" w:cs="Arial"/>
                <w:color w:val="244061" w:themeColor="accent1" w:themeShade="80"/>
                <w:sz w:val="20"/>
                <w:lang w:eastAsia="en-US"/>
              </w:rPr>
              <w:t>om</w:t>
            </w:r>
            <w:r w:rsidR="00AA30C7" w:rsidRPr="00EB18D3">
              <w:rPr>
                <w:rFonts w:eastAsia="Calibri" w:cs="Arial"/>
                <w:color w:val="244061" w:themeColor="accent1" w:themeShade="80"/>
                <w:sz w:val="20"/>
                <w:lang w:eastAsia="en-US"/>
              </w:rPr>
              <w:t xml:space="preserve"> aglomeracij</w:t>
            </w:r>
            <w:r w:rsidR="00165A36" w:rsidRPr="00EB18D3">
              <w:rPr>
                <w:rFonts w:eastAsia="Calibri" w:cs="Arial"/>
                <w:color w:val="244061" w:themeColor="accent1" w:themeShade="80"/>
                <w:sz w:val="20"/>
                <w:lang w:eastAsia="en-US"/>
              </w:rPr>
              <w:t>om</w:t>
            </w:r>
            <w:r w:rsidR="00AA30C7" w:rsidRPr="00EB18D3">
              <w:rPr>
                <w:rFonts w:eastAsia="Calibri" w:cs="Arial"/>
                <w:color w:val="244061" w:themeColor="accent1" w:themeShade="80"/>
                <w:sz w:val="20"/>
                <w:lang w:eastAsia="en-US"/>
              </w:rPr>
              <w:t xml:space="preserve"> Split, </w:t>
            </w:r>
            <w:r w:rsidRPr="00EB18D3">
              <w:rPr>
                <w:rFonts w:eastAsia="Calibri" w:cs="Arial"/>
                <w:color w:val="244061" w:themeColor="accent1" w:themeShade="80"/>
                <w:sz w:val="20"/>
                <w:lang w:eastAsia="en-US"/>
              </w:rPr>
              <w:t xml:space="preserve">bilo </w:t>
            </w:r>
            <w:r w:rsidR="00AA30C7" w:rsidRPr="00EB18D3">
              <w:rPr>
                <w:rFonts w:eastAsia="Calibri" w:cs="Arial"/>
                <w:color w:val="244061" w:themeColor="accent1" w:themeShade="80"/>
                <w:sz w:val="20"/>
                <w:lang w:eastAsia="en-US"/>
              </w:rPr>
              <w:t xml:space="preserve">je </w:t>
            </w:r>
            <w:r w:rsidR="00940AE9" w:rsidRPr="00EB18D3">
              <w:rPr>
                <w:rFonts w:eastAsia="Calibri" w:cs="Arial"/>
                <w:color w:val="244061" w:themeColor="accent1" w:themeShade="80"/>
                <w:sz w:val="20"/>
                <w:lang w:eastAsia="en-US"/>
              </w:rPr>
              <w:t>10.075</w:t>
            </w:r>
            <w:r w:rsidR="00AA30C7" w:rsidRPr="00EB18D3">
              <w:rPr>
                <w:rFonts w:eastAsia="Calibri" w:cs="Arial"/>
                <w:color w:val="244061" w:themeColor="accent1" w:themeShade="80"/>
                <w:sz w:val="20"/>
                <w:lang w:eastAsia="en-US"/>
              </w:rPr>
              <w:t xml:space="preserve"> </w:t>
            </w:r>
            <w:r w:rsidR="00165A36" w:rsidRPr="00EB18D3">
              <w:rPr>
                <w:rFonts w:eastAsia="Calibri" w:cs="Arial"/>
                <w:color w:val="244061" w:themeColor="accent1" w:themeShade="80"/>
                <w:sz w:val="20"/>
                <w:lang w:eastAsia="en-US"/>
              </w:rPr>
              <w:t>poduzetnika</w:t>
            </w:r>
            <w:r w:rsidR="00AA30C7" w:rsidRPr="00EB18D3">
              <w:rPr>
                <w:rFonts w:eastAsia="Calibri" w:cs="Arial"/>
                <w:color w:val="244061" w:themeColor="accent1" w:themeShade="80"/>
                <w:sz w:val="20"/>
                <w:lang w:eastAsia="en-US"/>
              </w:rPr>
              <w:t>.</w:t>
            </w:r>
            <w:r w:rsidR="00E57196" w:rsidRPr="00EB18D3">
              <w:rPr>
                <w:rFonts w:eastAsia="Calibri" w:cs="Arial"/>
                <w:color w:val="244061" w:themeColor="accent1" w:themeShade="80"/>
                <w:sz w:val="20"/>
                <w:lang w:eastAsia="en-US"/>
              </w:rPr>
              <w:t xml:space="preserve"> </w:t>
            </w:r>
            <w:r w:rsidR="00AA30C7" w:rsidRPr="00EB18D3">
              <w:rPr>
                <w:rFonts w:eastAsia="Calibri" w:cs="Arial"/>
                <w:color w:val="244061" w:themeColor="accent1" w:themeShade="80"/>
                <w:sz w:val="20"/>
                <w:lang w:eastAsia="en-US"/>
              </w:rPr>
              <w:t xml:space="preserve">Riječ je o poduzetnicima koji su sastavili i u Registar godišnjih financijskih </w:t>
            </w:r>
            <w:r w:rsidR="00AA30C7" w:rsidRPr="00940AE9">
              <w:rPr>
                <w:rFonts w:eastAsia="Calibri" w:cs="Arial"/>
                <w:color w:val="244061" w:themeColor="accent1" w:themeShade="80"/>
                <w:sz w:val="20"/>
                <w:lang w:eastAsia="en-US"/>
              </w:rPr>
              <w:t>izvještaja podnijeli točan i potpun godišnji financijski izvještaj za 201</w:t>
            </w:r>
            <w:r w:rsidR="00940AE9" w:rsidRPr="00940AE9">
              <w:rPr>
                <w:rFonts w:eastAsia="Calibri" w:cs="Arial"/>
                <w:color w:val="244061" w:themeColor="accent1" w:themeShade="80"/>
                <w:sz w:val="20"/>
                <w:lang w:eastAsia="en-US"/>
              </w:rPr>
              <w:t>7</w:t>
            </w:r>
            <w:r w:rsidR="00AA30C7" w:rsidRPr="00940AE9">
              <w:rPr>
                <w:rFonts w:eastAsia="Calibri" w:cs="Arial"/>
                <w:color w:val="244061" w:themeColor="accent1" w:themeShade="80"/>
                <w:sz w:val="20"/>
                <w:lang w:eastAsia="en-US"/>
              </w:rPr>
              <w:t>. godinu.</w:t>
            </w:r>
            <w:r w:rsidR="00E57196" w:rsidRPr="00940AE9">
              <w:rPr>
                <w:rFonts w:eastAsia="Calibri" w:cs="Arial"/>
                <w:color w:val="244061" w:themeColor="accent1" w:themeShade="80"/>
                <w:sz w:val="20"/>
                <w:lang w:eastAsia="en-US"/>
              </w:rPr>
              <w:t xml:space="preserve"> </w:t>
            </w:r>
            <w:r w:rsidR="000209D3" w:rsidRPr="00940AE9">
              <w:rPr>
                <w:rFonts w:eastAsia="Calibri" w:cs="Arial"/>
                <w:color w:val="244061" w:themeColor="accent1" w:themeShade="80"/>
                <w:sz w:val="20"/>
                <w:lang w:eastAsia="en-US"/>
              </w:rPr>
              <w:t xml:space="preserve">Kod </w:t>
            </w:r>
            <w:r w:rsidR="00940AE9" w:rsidRPr="00940AE9">
              <w:rPr>
                <w:rFonts w:eastAsia="Calibri" w:cs="Arial"/>
                <w:color w:val="244061" w:themeColor="accent1" w:themeShade="80"/>
                <w:sz w:val="20"/>
                <w:lang w:eastAsia="en-US"/>
              </w:rPr>
              <w:t>10.075</w:t>
            </w:r>
            <w:r w:rsidR="000209D3" w:rsidRPr="00940AE9">
              <w:rPr>
                <w:rFonts w:eastAsia="Calibri" w:cs="Arial"/>
                <w:color w:val="244061" w:themeColor="accent1" w:themeShade="80"/>
                <w:sz w:val="20"/>
                <w:lang w:eastAsia="en-US"/>
              </w:rPr>
              <w:t xml:space="preserve"> poduzetnika bilo je </w:t>
            </w:r>
            <w:r w:rsidR="00940AE9" w:rsidRPr="00940AE9">
              <w:rPr>
                <w:rFonts w:eastAsia="Calibri" w:cs="Arial"/>
                <w:color w:val="244061" w:themeColor="accent1" w:themeShade="80"/>
                <w:sz w:val="20"/>
                <w:lang w:eastAsia="en-US"/>
              </w:rPr>
              <w:t xml:space="preserve">61.190 </w:t>
            </w:r>
            <w:r w:rsidR="000209D3" w:rsidRPr="00940AE9">
              <w:rPr>
                <w:rFonts w:eastAsia="Calibri" w:cs="Arial"/>
                <w:color w:val="244061" w:themeColor="accent1" w:themeShade="80"/>
                <w:sz w:val="20"/>
                <w:lang w:eastAsia="en-US"/>
              </w:rPr>
              <w:t>zaposlenih, što je prosječno po poduzetniku</w:t>
            </w:r>
            <w:r w:rsidR="009E1CD1">
              <w:rPr>
                <w:rFonts w:eastAsia="Calibri" w:cs="Arial"/>
                <w:color w:val="244061" w:themeColor="accent1" w:themeShade="80"/>
                <w:sz w:val="20"/>
                <w:lang w:eastAsia="en-US"/>
              </w:rPr>
              <w:t xml:space="preserve"> </w:t>
            </w:r>
            <w:r w:rsidR="009E1CD1" w:rsidRPr="009E1CD1">
              <w:rPr>
                <w:rFonts w:eastAsia="Calibri" w:cs="Arial"/>
                <w:color w:val="244061" w:themeColor="accent1" w:themeShade="80"/>
                <w:sz w:val="20"/>
                <w:lang w:eastAsia="en-US"/>
              </w:rPr>
              <w:t xml:space="preserve">6,1 zaposlenih </w:t>
            </w:r>
            <w:r w:rsidR="009E1CD1">
              <w:rPr>
                <w:rFonts w:eastAsia="Calibri" w:cs="Arial"/>
                <w:color w:val="244061" w:themeColor="accent1" w:themeShade="80"/>
                <w:sz w:val="20"/>
                <w:lang w:eastAsia="en-US"/>
              </w:rPr>
              <w:t>s prosječnom plaćom od 4.486 kuna</w:t>
            </w:r>
            <w:r w:rsidR="00E57196" w:rsidRPr="00940AE9">
              <w:rPr>
                <w:rFonts w:eastAsia="Calibri" w:cs="Arial"/>
                <w:color w:val="244061" w:themeColor="accent1" w:themeShade="80"/>
                <w:sz w:val="20"/>
                <w:lang w:eastAsia="en-US"/>
              </w:rPr>
              <w:t>.</w:t>
            </w:r>
          </w:p>
          <w:p w:rsidR="00E57196" w:rsidRPr="00EB18D3" w:rsidRDefault="009E1CD1" w:rsidP="009E1CD1">
            <w:pPr>
              <w:tabs>
                <w:tab w:val="left" w:pos="567"/>
              </w:tabs>
              <w:spacing w:before="120" w:line="276" w:lineRule="auto"/>
              <w:rPr>
                <w:rFonts w:eastAsia="Calibri" w:cs="Arial"/>
                <w:color w:val="244061"/>
                <w:sz w:val="20"/>
                <w:lang w:eastAsia="en-US"/>
              </w:rPr>
            </w:pPr>
            <w:r w:rsidRPr="009E1CD1">
              <w:rPr>
                <w:rFonts w:eastAsiaTheme="minorHAnsi" w:cs="Arial"/>
                <w:color w:val="244061" w:themeColor="accent1" w:themeShade="80"/>
                <w:sz w:val="20"/>
                <w:lang w:eastAsia="en-US"/>
              </w:rPr>
              <w:t xml:space="preserve">To je u odnosu na 2015. godinu povećanje broja poduzetnika (9.178) za 897 i broja zaposlenih (56.594) za 4.596, s tim da je prosječan broj zaposlenih 2015. godine bio veći (6,2 zaposlenih po poduzetniku), kao i prosječna plaća koja je iznosila 4.545 kuna. </w:t>
            </w:r>
          </w:p>
        </w:tc>
      </w:tr>
    </w:tbl>
    <w:p w:rsidR="00EB18D3" w:rsidRDefault="00EB18D3" w:rsidP="00EB18D3">
      <w:pPr>
        <w:widowControl w:val="0"/>
        <w:tabs>
          <w:tab w:val="left" w:pos="0"/>
        </w:tabs>
        <w:spacing w:before="120" w:line="276" w:lineRule="auto"/>
        <w:rPr>
          <w:rFonts w:eastAsia="Calibri" w:cs="Arial"/>
          <w:color w:val="244061" w:themeColor="accent1" w:themeShade="80"/>
          <w:sz w:val="20"/>
          <w:lang w:eastAsia="en-US"/>
        </w:rPr>
      </w:pPr>
      <w:r w:rsidRPr="00D21373">
        <w:rPr>
          <w:rFonts w:eastAsia="Calibri" w:cs="Arial"/>
          <w:color w:val="244061" w:themeColor="accent1" w:themeShade="80"/>
          <w:sz w:val="20"/>
          <w:lang w:eastAsia="en-US"/>
        </w:rPr>
        <w:t xml:space="preserve">Od ukupnog broja poduzetnika </w:t>
      </w:r>
      <w:r w:rsidR="009E1CD1">
        <w:rPr>
          <w:rFonts w:eastAsia="Calibri" w:cs="Arial"/>
          <w:color w:val="244061" w:themeColor="accent1" w:themeShade="80"/>
          <w:sz w:val="20"/>
          <w:lang w:eastAsia="en-US"/>
        </w:rPr>
        <w:t>(</w:t>
      </w:r>
      <w:r w:rsidR="009E1CD1" w:rsidRPr="009E1CD1">
        <w:rPr>
          <w:rFonts w:eastAsia="Calibri" w:cs="Arial"/>
          <w:color w:val="244061" w:themeColor="accent1" w:themeShade="80"/>
          <w:sz w:val="20"/>
          <w:lang w:eastAsia="en-US"/>
        </w:rPr>
        <w:t xml:space="preserve">10.075), </w:t>
      </w:r>
      <w:r w:rsidRPr="00D21373">
        <w:rPr>
          <w:rFonts w:eastAsia="Calibri" w:cs="Arial"/>
          <w:color w:val="244061" w:themeColor="accent1" w:themeShade="80"/>
          <w:sz w:val="20"/>
          <w:lang w:eastAsia="en-US"/>
        </w:rPr>
        <w:t>čije je sjedište u jednom od gradova i općina u sastavu Urbane aglomeracije Split</w:t>
      </w:r>
      <w:r w:rsidR="009E1CD1">
        <w:rPr>
          <w:rFonts w:eastAsia="Calibri" w:cs="Arial"/>
          <w:color w:val="244061" w:themeColor="accent1" w:themeShade="80"/>
          <w:sz w:val="20"/>
          <w:lang w:eastAsia="en-US"/>
        </w:rPr>
        <w:t xml:space="preserve">, </w:t>
      </w:r>
      <w:r w:rsidRPr="00D21373">
        <w:rPr>
          <w:rFonts w:eastAsia="Calibri" w:cs="Arial"/>
          <w:color w:val="244061" w:themeColor="accent1" w:themeShade="80"/>
          <w:sz w:val="20"/>
          <w:lang w:eastAsia="en-US"/>
        </w:rPr>
        <w:t xml:space="preserve">najviše je poduzetnika </w:t>
      </w:r>
      <w:r w:rsidR="009E1CD1">
        <w:rPr>
          <w:rFonts w:eastAsia="Calibri" w:cs="Arial"/>
          <w:color w:val="244061" w:themeColor="accent1" w:themeShade="80"/>
          <w:sz w:val="20"/>
          <w:lang w:eastAsia="en-US"/>
        </w:rPr>
        <w:t>u</w:t>
      </w:r>
      <w:r w:rsidRPr="00D21373">
        <w:rPr>
          <w:rFonts w:eastAsia="Calibri" w:cs="Arial"/>
          <w:color w:val="244061" w:themeColor="accent1" w:themeShade="80"/>
          <w:sz w:val="20"/>
          <w:lang w:eastAsia="en-US"/>
        </w:rPr>
        <w:t xml:space="preserve"> Split</w:t>
      </w:r>
      <w:r w:rsidR="009E1CD1">
        <w:rPr>
          <w:rFonts w:eastAsia="Calibri" w:cs="Arial"/>
          <w:color w:val="244061" w:themeColor="accent1" w:themeShade="80"/>
          <w:sz w:val="20"/>
          <w:lang w:eastAsia="en-US"/>
        </w:rPr>
        <w:t>u</w:t>
      </w:r>
      <w:r w:rsidRPr="00D21373">
        <w:rPr>
          <w:rFonts w:eastAsia="Calibri" w:cs="Arial"/>
          <w:color w:val="244061" w:themeColor="accent1" w:themeShade="80"/>
          <w:sz w:val="20"/>
          <w:lang w:eastAsia="en-US"/>
        </w:rPr>
        <w:t xml:space="preserve"> (6</w:t>
      </w:r>
      <w:r>
        <w:rPr>
          <w:rFonts w:eastAsia="Calibri" w:cs="Arial"/>
          <w:color w:val="244061" w:themeColor="accent1" w:themeShade="80"/>
          <w:sz w:val="20"/>
          <w:lang w:eastAsia="en-US"/>
        </w:rPr>
        <w:t>.</w:t>
      </w:r>
      <w:r w:rsidRPr="00D21373">
        <w:rPr>
          <w:rFonts w:eastAsia="Calibri" w:cs="Arial"/>
          <w:color w:val="244061" w:themeColor="accent1" w:themeShade="80"/>
          <w:sz w:val="20"/>
          <w:lang w:eastAsia="en-US"/>
        </w:rPr>
        <w:t>888 ili 68,4 %), a najmanji u Lećevici (9 ili 0,1 %).</w:t>
      </w:r>
    </w:p>
    <w:p w:rsidR="00E65163" w:rsidRDefault="00E65163" w:rsidP="009E1CD1">
      <w:pPr>
        <w:widowControl w:val="0"/>
        <w:tabs>
          <w:tab w:val="left" w:pos="567"/>
        </w:tabs>
        <w:spacing w:after="40"/>
        <w:ind w:left="1134" w:hanging="1134"/>
        <w:jc w:val="left"/>
        <w:rPr>
          <w:rFonts w:eastAsia="Calibri" w:cs="Arial"/>
          <w:color w:val="17365D"/>
          <w:sz w:val="16"/>
          <w:szCs w:val="18"/>
          <w:lang w:eastAsia="en-US"/>
        </w:rPr>
      </w:pPr>
      <w:r w:rsidRPr="00C715F9">
        <w:rPr>
          <w:rFonts w:eastAsia="Calibri" w:cs="Arial"/>
          <w:b/>
          <w:color w:val="17365D"/>
          <w:sz w:val="18"/>
          <w:szCs w:val="18"/>
          <w:lang w:eastAsia="en-US"/>
        </w:rPr>
        <w:t xml:space="preserve">Tablica </w:t>
      </w:r>
      <w:r w:rsidR="006F086A" w:rsidRPr="00C715F9">
        <w:rPr>
          <w:rFonts w:eastAsia="Calibri" w:cs="Arial"/>
          <w:b/>
          <w:color w:val="17365D"/>
          <w:sz w:val="18"/>
          <w:szCs w:val="18"/>
          <w:lang w:eastAsia="en-US"/>
        </w:rPr>
        <w:t>1</w:t>
      </w:r>
      <w:r w:rsidR="007D5D28">
        <w:rPr>
          <w:rFonts w:eastAsia="Calibri" w:cs="Arial"/>
          <w:b/>
          <w:color w:val="17365D"/>
          <w:sz w:val="18"/>
          <w:szCs w:val="18"/>
          <w:lang w:eastAsia="en-US"/>
        </w:rPr>
        <w:t>.</w:t>
      </w:r>
      <w:r w:rsidRPr="003E42C5">
        <w:rPr>
          <w:rFonts w:eastAsia="Calibri" w:cs="Arial"/>
          <w:b/>
          <w:color w:val="244061"/>
          <w:sz w:val="18"/>
          <w:szCs w:val="18"/>
          <w:lang w:eastAsia="en-US"/>
        </w:rPr>
        <w:tab/>
        <w:t xml:space="preserve">Broj poduzetnika i osnovni financijski rezultati poslovanja poduzetnika u gradovima/općinama Urbane aglomeracije </w:t>
      </w:r>
      <w:r w:rsidR="00957D93" w:rsidRPr="003E42C5">
        <w:rPr>
          <w:rFonts w:eastAsia="Calibri" w:cs="Arial"/>
          <w:b/>
          <w:color w:val="244061"/>
          <w:sz w:val="18"/>
          <w:szCs w:val="18"/>
          <w:lang w:eastAsia="en-US"/>
        </w:rPr>
        <w:t>Split</w:t>
      </w:r>
      <w:r w:rsidRPr="003E42C5">
        <w:rPr>
          <w:rFonts w:eastAsia="Calibri" w:cs="Arial"/>
          <w:b/>
          <w:color w:val="244061"/>
          <w:sz w:val="18"/>
          <w:szCs w:val="18"/>
          <w:lang w:eastAsia="en-US"/>
        </w:rPr>
        <w:t xml:space="preserve"> u 201</w:t>
      </w:r>
      <w:r w:rsidR="002D009C">
        <w:rPr>
          <w:rFonts w:eastAsia="Calibri" w:cs="Arial"/>
          <w:b/>
          <w:color w:val="244061"/>
          <w:sz w:val="18"/>
          <w:szCs w:val="18"/>
          <w:lang w:eastAsia="en-US"/>
        </w:rPr>
        <w:t>7</w:t>
      </w:r>
      <w:r w:rsidRPr="003E42C5">
        <w:rPr>
          <w:rFonts w:eastAsia="Calibri" w:cs="Arial"/>
          <w:b/>
          <w:color w:val="244061"/>
          <w:sz w:val="18"/>
          <w:szCs w:val="18"/>
          <w:lang w:eastAsia="en-US"/>
        </w:rPr>
        <w:t>. godini</w:t>
      </w:r>
      <w:r w:rsidRPr="00882537">
        <w:rPr>
          <w:rFonts w:eastAsia="Calibri" w:cs="Arial"/>
          <w:color w:val="244061"/>
          <w:sz w:val="19"/>
          <w:szCs w:val="19"/>
          <w:lang w:eastAsia="en-US"/>
        </w:rPr>
        <w:tab/>
      </w:r>
      <w:r w:rsidR="003E42C5">
        <w:rPr>
          <w:rFonts w:eastAsia="Calibri" w:cs="Arial"/>
          <w:color w:val="244061"/>
          <w:sz w:val="19"/>
          <w:szCs w:val="19"/>
          <w:lang w:eastAsia="en-US"/>
        </w:rPr>
        <w:tab/>
      </w:r>
      <w:r w:rsidR="00AA30C7">
        <w:rPr>
          <w:rFonts w:eastAsia="Calibri" w:cs="Arial"/>
          <w:color w:val="244061"/>
          <w:sz w:val="19"/>
          <w:szCs w:val="19"/>
          <w:lang w:eastAsia="en-US"/>
        </w:rPr>
        <w:tab/>
      </w:r>
      <w:r w:rsidR="00AA30C7">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17365D"/>
          <w:sz w:val="16"/>
          <w:szCs w:val="18"/>
          <w:lang w:eastAsia="en-US"/>
        </w:rPr>
        <w:t>(iznosi u tisućama kuna)</w:t>
      </w:r>
    </w:p>
    <w:tbl>
      <w:tblPr>
        <w:tblW w:w="9864" w:type="dxa"/>
        <w:tblInd w:w="93" w:type="dxa"/>
        <w:tblLook w:val="04A0" w:firstRow="1" w:lastRow="0" w:firstColumn="1" w:lastColumn="0" w:noHBand="0" w:noVBand="1"/>
      </w:tblPr>
      <w:tblGrid>
        <w:gridCol w:w="2438"/>
        <w:gridCol w:w="1247"/>
        <w:gridCol w:w="1191"/>
        <w:gridCol w:w="1247"/>
        <w:gridCol w:w="1247"/>
        <w:gridCol w:w="1247"/>
        <w:gridCol w:w="1247"/>
      </w:tblGrid>
      <w:tr w:rsidR="00883FAC" w:rsidRPr="00940AE9" w:rsidTr="009E1CD1">
        <w:trPr>
          <w:trHeight w:val="397"/>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D21373" w:rsidRDefault="00940AE9" w:rsidP="00940AE9">
            <w:pPr>
              <w:spacing w:before="0"/>
              <w:jc w:val="center"/>
              <w:rPr>
                <w:rFonts w:cs="Arial"/>
                <w:b/>
                <w:bCs/>
                <w:color w:val="FFFFFF"/>
                <w:sz w:val="18"/>
                <w:szCs w:val="18"/>
              </w:rPr>
            </w:pPr>
            <w:r w:rsidRPr="00D21373">
              <w:rPr>
                <w:rFonts w:cs="Arial"/>
                <w:b/>
                <w:bCs/>
                <w:color w:val="FFFFFF"/>
                <w:sz w:val="18"/>
                <w:szCs w:val="18"/>
              </w:rPr>
              <w:t>Naziv grada/općine</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Broj poduzetnika</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Broj zaposlenih</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Ukupni prihod</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Dobit razdoblja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Gubitak razdoblja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940AE9" w:rsidRPr="00940AE9" w:rsidRDefault="00940AE9" w:rsidP="00940AE9">
            <w:pPr>
              <w:spacing w:before="0"/>
              <w:jc w:val="center"/>
              <w:rPr>
                <w:rFonts w:cs="Arial"/>
                <w:b/>
                <w:bCs/>
                <w:color w:val="FFFFFF"/>
                <w:sz w:val="17"/>
                <w:szCs w:val="17"/>
              </w:rPr>
            </w:pPr>
            <w:r w:rsidRPr="00940AE9">
              <w:rPr>
                <w:rFonts w:cs="Arial"/>
                <w:b/>
                <w:bCs/>
                <w:color w:val="FFFFFF"/>
                <w:sz w:val="17"/>
                <w:szCs w:val="17"/>
              </w:rPr>
              <w:t>Neto dobit</w:t>
            </w:r>
          </w:p>
        </w:tc>
      </w:tr>
      <w:tr w:rsidR="00883FAC" w:rsidRPr="00940AE9" w:rsidTr="00EB18D3">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Kaštela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716</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4.240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2.916.620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244.103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92.150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151.953</w:t>
            </w:r>
          </w:p>
        </w:tc>
      </w:tr>
      <w:tr w:rsidR="00883FAC" w:rsidRPr="00940AE9" w:rsidTr="00EB18D3">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Omiš</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274</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4.350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2.640.427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139.322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6.777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132.545</w:t>
            </w:r>
          </w:p>
        </w:tc>
      </w:tr>
      <w:tr w:rsidR="00883FAC" w:rsidRPr="00940AE9" w:rsidTr="00EB18D3">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Sinj</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292</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1.855</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862.263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46.665</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32.553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14.112</w:t>
            </w:r>
          </w:p>
        </w:tc>
      </w:tr>
      <w:tr w:rsidR="00883FAC" w:rsidRPr="00940AE9" w:rsidTr="00EB18D3">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Solin</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675</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5.031</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3.945.432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183.153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112.414</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70.739</w:t>
            </w:r>
          </w:p>
        </w:tc>
      </w:tr>
      <w:tr w:rsidR="00883FAC" w:rsidRPr="00940AE9" w:rsidTr="00EB18D3">
        <w:trPr>
          <w:trHeight w:val="283"/>
        </w:trPr>
        <w:tc>
          <w:tcPr>
            <w:tcW w:w="2438" w:type="dxa"/>
            <w:tcBorders>
              <w:top w:val="single" w:sz="4" w:space="0" w:color="FFFFFF" w:themeColor="background1"/>
              <w:left w:val="single" w:sz="8" w:space="0" w:color="FFFFFF"/>
              <w:bottom w:val="single" w:sz="4" w:space="0" w:color="FF0000"/>
              <w:right w:val="single" w:sz="4" w:space="0" w:color="FFFFFF" w:themeColor="background1"/>
            </w:tcBorders>
            <w:shd w:val="pct12" w:color="D9D9D9" w:fill="D9D9D9"/>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Split</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D9D9D9" w:fill="D9D9D9"/>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6.888</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D9D9D9" w:fill="D9D9D9"/>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37.292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D9D9D9"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22.808.767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D9D9D9"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1.462.770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12" w:color="D9D9D9"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592.992</w:t>
            </w:r>
          </w:p>
        </w:tc>
        <w:tc>
          <w:tcPr>
            <w:tcW w:w="1247" w:type="dxa"/>
            <w:tcBorders>
              <w:top w:val="single" w:sz="4" w:space="0" w:color="FFFFFF" w:themeColor="background1"/>
              <w:left w:val="single" w:sz="4" w:space="0" w:color="FFFFFF" w:themeColor="background1"/>
              <w:bottom w:val="single" w:sz="4" w:space="0" w:color="FF0000"/>
              <w:right w:val="single" w:sz="8" w:space="0" w:color="FFFFFF"/>
            </w:tcBorders>
            <w:shd w:val="pct12" w:color="D9D9D9"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869.778</w:t>
            </w:r>
          </w:p>
        </w:tc>
      </w:tr>
      <w:tr w:rsidR="00883FAC" w:rsidRPr="00940AE9" w:rsidTr="00EB18D3">
        <w:trPr>
          <w:trHeight w:val="283"/>
        </w:trPr>
        <w:tc>
          <w:tcPr>
            <w:tcW w:w="2438" w:type="dxa"/>
            <w:tcBorders>
              <w:top w:val="single" w:sz="4" w:space="0" w:color="FF0000"/>
              <w:left w:val="single" w:sz="4" w:space="0" w:color="FF0000"/>
              <w:bottom w:val="single" w:sz="4" w:space="0" w:color="FF0000"/>
              <w:right w:val="single" w:sz="4" w:space="0" w:color="FF0000"/>
            </w:tcBorders>
            <w:shd w:val="clear" w:color="000000" w:fill="F2F2F2"/>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Trogir</w:t>
            </w:r>
          </w:p>
        </w:tc>
        <w:tc>
          <w:tcPr>
            <w:tcW w:w="1247" w:type="dxa"/>
            <w:tcBorders>
              <w:top w:val="single" w:sz="4" w:space="0" w:color="FFFFFF" w:themeColor="background1"/>
              <w:left w:val="single" w:sz="4" w:space="0" w:color="FF0000"/>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401</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2.887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1.314.890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58.500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0000"/>
            </w:tcBorders>
            <w:shd w:val="clear" w:color="000000" w:fill="F2F2F2"/>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76.838</w:t>
            </w:r>
          </w:p>
        </w:tc>
        <w:tc>
          <w:tcPr>
            <w:tcW w:w="1247" w:type="dxa"/>
            <w:tcBorders>
              <w:top w:val="single" w:sz="4" w:space="0" w:color="FF0000"/>
              <w:left w:val="single" w:sz="4" w:space="0" w:color="FF0000"/>
              <w:bottom w:val="single" w:sz="4" w:space="0" w:color="FF0000"/>
              <w:right w:val="single" w:sz="4" w:space="0" w:color="FF0000"/>
            </w:tcBorders>
            <w:shd w:val="clear" w:color="000000" w:fill="F2F2F2"/>
            <w:noWrap/>
            <w:vAlign w:val="center"/>
            <w:hideMark/>
          </w:tcPr>
          <w:p w:rsidR="00940AE9" w:rsidRPr="00940AE9" w:rsidRDefault="00940AE9" w:rsidP="00940AE9">
            <w:pPr>
              <w:spacing w:before="0"/>
              <w:jc w:val="right"/>
              <w:rPr>
                <w:rFonts w:cs="Arial"/>
                <w:b/>
                <w:bCs/>
                <w:color w:val="FF0000"/>
                <w:sz w:val="18"/>
                <w:szCs w:val="18"/>
              </w:rPr>
            </w:pPr>
            <w:r w:rsidRPr="00940AE9">
              <w:rPr>
                <w:rFonts w:cs="Arial"/>
                <w:b/>
                <w:bCs/>
                <w:color w:val="FF0000"/>
                <w:sz w:val="18"/>
                <w:szCs w:val="18"/>
              </w:rPr>
              <w:t>-18.338</w:t>
            </w:r>
          </w:p>
        </w:tc>
      </w:tr>
      <w:tr w:rsidR="00883FAC" w:rsidRPr="00940AE9" w:rsidTr="00883FAC">
        <w:trPr>
          <w:trHeight w:val="283"/>
        </w:trPr>
        <w:tc>
          <w:tcPr>
            <w:tcW w:w="2438" w:type="dxa"/>
            <w:tcBorders>
              <w:top w:val="single" w:sz="4" w:space="0" w:color="FF0000"/>
              <w:left w:val="single" w:sz="8" w:space="0" w:color="FFFFFF"/>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Dicmo</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38</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392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454.590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20.115</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8.565</w:t>
            </w:r>
          </w:p>
        </w:tc>
        <w:tc>
          <w:tcPr>
            <w:tcW w:w="1247" w:type="dxa"/>
            <w:tcBorders>
              <w:top w:val="single" w:sz="4" w:space="0" w:color="FF0000"/>
              <w:left w:val="single" w:sz="4" w:space="0" w:color="FFFFFF" w:themeColor="background1"/>
              <w:bottom w:val="single" w:sz="4" w:space="0" w:color="FFFFFF" w:themeColor="background1"/>
              <w:right w:val="single" w:sz="8" w:space="0" w:color="FFFFFF"/>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11.550</w:t>
            </w:r>
          </w:p>
        </w:tc>
      </w:tr>
      <w:tr w:rsidR="00883FAC"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Dugi Rat</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198</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1008</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737.171</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95.559</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1.757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93.802</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Dugopolje</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134</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2003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1.399.737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D745E9" w:rsidP="00940AE9">
            <w:pPr>
              <w:spacing w:before="0"/>
              <w:jc w:val="right"/>
              <w:rPr>
                <w:rFonts w:cs="Arial"/>
                <w:color w:val="244061"/>
                <w:sz w:val="18"/>
                <w:szCs w:val="18"/>
              </w:rPr>
            </w:pPr>
            <w:r w:rsidRPr="00D745E9">
              <w:rPr>
                <w:rFonts w:cs="Arial"/>
                <w:color w:val="244061"/>
                <w:sz w:val="18"/>
                <w:szCs w:val="18"/>
              </w:rPr>
              <w:t>148.773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55.588</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93.185</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Klis</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84</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464</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228.479</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9.674</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3.776</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5.898</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Lećevica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9</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24.865</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10.797</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71</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10.726</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Muć</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31</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262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155.143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5.260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2.375</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2.885</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61713D" w:rsidRDefault="00940AE9" w:rsidP="00940AE9">
            <w:pPr>
              <w:spacing w:before="0"/>
              <w:jc w:val="left"/>
              <w:rPr>
                <w:rFonts w:cs="Arial"/>
                <w:bCs/>
                <w:color w:val="244061"/>
                <w:sz w:val="18"/>
                <w:szCs w:val="18"/>
              </w:rPr>
            </w:pPr>
            <w:r w:rsidRPr="0061713D">
              <w:rPr>
                <w:rFonts w:cs="Arial"/>
                <w:bCs/>
                <w:color w:val="244061"/>
                <w:sz w:val="18"/>
                <w:szCs w:val="18"/>
              </w:rPr>
              <w:t>Podstrana</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335</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1.386</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672.778</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59.458</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10.032</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E7EDF5"/>
            <w:noWrap/>
            <w:vAlign w:val="center"/>
            <w:hideMark/>
          </w:tcPr>
          <w:p w:rsidR="00940AE9" w:rsidRPr="00940AE9" w:rsidRDefault="00940AE9" w:rsidP="00940AE9">
            <w:pPr>
              <w:spacing w:before="0"/>
              <w:jc w:val="right"/>
              <w:rPr>
                <w:rFonts w:cs="Arial"/>
                <w:color w:val="244061"/>
                <w:sz w:val="18"/>
                <w:szCs w:val="18"/>
              </w:rPr>
            </w:pPr>
            <w:r w:rsidRPr="00940AE9">
              <w:rPr>
                <w:rFonts w:cs="Arial"/>
                <w:color w:val="244061"/>
                <w:sz w:val="18"/>
                <w:szCs w:val="18"/>
              </w:rPr>
              <w:t>49.427</w:t>
            </w:r>
          </w:p>
        </w:tc>
      </w:tr>
      <w:tr w:rsidR="00940AE9" w:rsidRPr="00940AE9" w:rsidTr="00883FAC">
        <w:trPr>
          <w:trHeight w:val="283"/>
        </w:trPr>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vAlign w:val="center"/>
            <w:hideMark/>
          </w:tcPr>
          <w:p w:rsidR="00940AE9" w:rsidRPr="00940AE9" w:rsidRDefault="00940AE9" w:rsidP="00940AE9">
            <w:pPr>
              <w:spacing w:before="0"/>
              <w:jc w:val="left"/>
              <w:rPr>
                <w:rFonts w:cs="Arial"/>
                <w:b/>
                <w:bCs/>
                <w:color w:val="244061"/>
                <w:sz w:val="18"/>
                <w:szCs w:val="18"/>
              </w:rPr>
            </w:pPr>
            <w:r w:rsidRPr="00940AE9">
              <w:rPr>
                <w:rFonts w:cs="Arial"/>
                <w:b/>
                <w:bCs/>
                <w:color w:val="244061"/>
                <w:sz w:val="18"/>
                <w:szCs w:val="18"/>
              </w:rPr>
              <w:t>Ukupno poduzetnici UAS</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10.075</w:t>
            </w:r>
          </w:p>
        </w:tc>
        <w:tc>
          <w:tcPr>
            <w:tcW w:w="11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61.190</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38.161.163</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2.484.149</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995.888</w:t>
            </w:r>
          </w:p>
        </w:tc>
        <w:tc>
          <w:tcPr>
            <w:tcW w:w="1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9D9D9"/>
            <w:noWrap/>
            <w:vAlign w:val="center"/>
            <w:hideMark/>
          </w:tcPr>
          <w:p w:rsidR="00940AE9" w:rsidRPr="00940AE9" w:rsidRDefault="00940AE9" w:rsidP="00940AE9">
            <w:pPr>
              <w:spacing w:before="0"/>
              <w:jc w:val="right"/>
              <w:rPr>
                <w:rFonts w:cs="Arial"/>
                <w:b/>
                <w:bCs/>
                <w:color w:val="244061"/>
                <w:sz w:val="18"/>
                <w:szCs w:val="18"/>
              </w:rPr>
            </w:pPr>
            <w:r w:rsidRPr="00940AE9">
              <w:rPr>
                <w:rFonts w:cs="Arial"/>
                <w:b/>
                <w:bCs/>
                <w:color w:val="244061"/>
                <w:sz w:val="18"/>
                <w:szCs w:val="18"/>
              </w:rPr>
              <w:t>1.488.260</w:t>
            </w:r>
          </w:p>
        </w:tc>
      </w:tr>
    </w:tbl>
    <w:p w:rsidR="00E65163" w:rsidRPr="00A77A2F" w:rsidRDefault="00E65163" w:rsidP="00E65163">
      <w:pPr>
        <w:spacing w:before="40"/>
        <w:rPr>
          <w:bCs/>
          <w:i/>
          <w:color w:val="17365D"/>
          <w:sz w:val="16"/>
          <w:szCs w:val="18"/>
        </w:rPr>
      </w:pPr>
      <w:r w:rsidRPr="00A77A2F">
        <w:rPr>
          <w:bCs/>
          <w:i/>
          <w:color w:val="17365D"/>
          <w:sz w:val="16"/>
          <w:szCs w:val="18"/>
        </w:rPr>
        <w:t>Izvor: Fina, Registar godišnjih financijskih izvještaja, obrada GFI-a za 201</w:t>
      </w:r>
      <w:r w:rsidR="002D009C">
        <w:rPr>
          <w:bCs/>
          <w:i/>
          <w:color w:val="17365D"/>
          <w:sz w:val="16"/>
          <w:szCs w:val="18"/>
        </w:rPr>
        <w:t>7</w:t>
      </w:r>
      <w:r w:rsidRPr="00A77A2F">
        <w:rPr>
          <w:bCs/>
          <w:i/>
          <w:color w:val="17365D"/>
          <w:sz w:val="16"/>
          <w:szCs w:val="18"/>
        </w:rPr>
        <w:t>. godinu</w:t>
      </w:r>
    </w:p>
    <w:p w:rsidR="00396FA6" w:rsidRPr="00135A66" w:rsidRDefault="00E65163" w:rsidP="00D745E9">
      <w:pPr>
        <w:widowControl w:val="0"/>
        <w:tabs>
          <w:tab w:val="left" w:pos="567"/>
        </w:tabs>
        <w:spacing w:line="276" w:lineRule="auto"/>
        <w:rPr>
          <w:rFonts w:eastAsia="Calibri" w:cs="Arial"/>
          <w:color w:val="244061" w:themeColor="accent1" w:themeShade="80"/>
          <w:sz w:val="20"/>
          <w:lang w:eastAsia="en-US"/>
        </w:rPr>
      </w:pPr>
      <w:r w:rsidRPr="009E1CD1">
        <w:rPr>
          <w:rFonts w:eastAsia="Calibri" w:cs="Arial"/>
          <w:color w:val="244061" w:themeColor="accent1" w:themeShade="80"/>
          <w:sz w:val="20"/>
          <w:lang w:eastAsia="en-US"/>
        </w:rPr>
        <w:t>U 201</w:t>
      </w:r>
      <w:r w:rsidR="002D009C" w:rsidRPr="009E1CD1">
        <w:rPr>
          <w:rFonts w:eastAsia="Calibri" w:cs="Arial"/>
          <w:color w:val="244061" w:themeColor="accent1" w:themeShade="80"/>
          <w:sz w:val="20"/>
          <w:lang w:eastAsia="en-US"/>
        </w:rPr>
        <w:t>7</w:t>
      </w:r>
      <w:r w:rsidRPr="009E1CD1">
        <w:rPr>
          <w:rFonts w:eastAsia="Calibri" w:cs="Arial"/>
          <w:color w:val="244061" w:themeColor="accent1" w:themeShade="80"/>
          <w:sz w:val="20"/>
          <w:lang w:eastAsia="en-US"/>
        </w:rPr>
        <w:t xml:space="preserve">. godini poduzetnici čije je sjedište </w:t>
      </w:r>
      <w:r w:rsidR="00911E72" w:rsidRPr="009E1CD1">
        <w:rPr>
          <w:rFonts w:eastAsia="Calibri" w:cs="Arial"/>
          <w:color w:val="244061" w:themeColor="accent1" w:themeShade="80"/>
          <w:sz w:val="20"/>
          <w:lang w:eastAsia="en-US"/>
        </w:rPr>
        <w:t xml:space="preserve">na području </w:t>
      </w:r>
      <w:r w:rsidRPr="009E1CD1">
        <w:rPr>
          <w:rFonts w:eastAsia="Calibri" w:cs="Arial"/>
          <w:color w:val="244061" w:themeColor="accent1" w:themeShade="80"/>
          <w:sz w:val="20"/>
          <w:lang w:eastAsia="en-US"/>
        </w:rPr>
        <w:t>Urban</w:t>
      </w:r>
      <w:r w:rsidR="00911E72" w:rsidRPr="009E1CD1">
        <w:rPr>
          <w:rFonts w:eastAsia="Calibri" w:cs="Arial"/>
          <w:color w:val="244061" w:themeColor="accent1" w:themeShade="80"/>
          <w:sz w:val="20"/>
          <w:lang w:eastAsia="en-US"/>
        </w:rPr>
        <w:t>e</w:t>
      </w:r>
      <w:r w:rsidRPr="009E1CD1">
        <w:rPr>
          <w:rFonts w:eastAsia="Calibri" w:cs="Arial"/>
          <w:color w:val="244061" w:themeColor="accent1" w:themeShade="80"/>
          <w:sz w:val="20"/>
          <w:lang w:eastAsia="en-US"/>
        </w:rPr>
        <w:t xml:space="preserve"> aglomeracij</w:t>
      </w:r>
      <w:r w:rsidR="00911E72" w:rsidRPr="009E1CD1">
        <w:rPr>
          <w:rFonts w:eastAsia="Calibri" w:cs="Arial"/>
          <w:color w:val="244061" w:themeColor="accent1" w:themeShade="80"/>
          <w:sz w:val="20"/>
          <w:lang w:eastAsia="en-US"/>
        </w:rPr>
        <w:t>e</w:t>
      </w:r>
      <w:r w:rsidRPr="009E1CD1">
        <w:rPr>
          <w:rFonts w:eastAsia="Calibri" w:cs="Arial"/>
          <w:color w:val="244061" w:themeColor="accent1" w:themeShade="80"/>
          <w:sz w:val="20"/>
          <w:lang w:eastAsia="en-US"/>
        </w:rPr>
        <w:t xml:space="preserve"> </w:t>
      </w:r>
      <w:r w:rsidR="00D923C5" w:rsidRPr="009E1CD1">
        <w:rPr>
          <w:rFonts w:eastAsia="Calibri" w:cs="Arial"/>
          <w:color w:val="244061" w:themeColor="accent1" w:themeShade="80"/>
          <w:sz w:val="20"/>
          <w:lang w:eastAsia="en-US"/>
        </w:rPr>
        <w:t>Split</w:t>
      </w:r>
      <w:r w:rsidRPr="009E1CD1">
        <w:rPr>
          <w:rFonts w:eastAsia="Calibri" w:cs="Arial"/>
          <w:color w:val="244061" w:themeColor="accent1" w:themeShade="80"/>
          <w:sz w:val="20"/>
          <w:lang w:eastAsia="en-US"/>
        </w:rPr>
        <w:t>, ostvarili su ukup</w:t>
      </w:r>
      <w:r w:rsidR="000374C4" w:rsidRPr="009E1CD1">
        <w:rPr>
          <w:rFonts w:eastAsia="Calibri" w:cs="Arial"/>
          <w:color w:val="244061" w:themeColor="accent1" w:themeShade="80"/>
          <w:sz w:val="20"/>
          <w:lang w:eastAsia="en-US"/>
        </w:rPr>
        <w:t>ne</w:t>
      </w:r>
      <w:r w:rsidRPr="009E1CD1">
        <w:rPr>
          <w:rFonts w:eastAsia="Calibri" w:cs="Arial"/>
          <w:color w:val="244061" w:themeColor="accent1" w:themeShade="80"/>
          <w:sz w:val="20"/>
          <w:lang w:eastAsia="en-US"/>
        </w:rPr>
        <w:t xml:space="preserve"> prihod</w:t>
      </w:r>
      <w:r w:rsidR="000374C4" w:rsidRPr="009E1CD1">
        <w:rPr>
          <w:rFonts w:eastAsia="Calibri" w:cs="Arial"/>
          <w:color w:val="244061" w:themeColor="accent1" w:themeShade="80"/>
          <w:sz w:val="20"/>
          <w:lang w:eastAsia="en-US"/>
        </w:rPr>
        <w:t>e</w:t>
      </w:r>
      <w:r w:rsidRPr="009E1CD1">
        <w:rPr>
          <w:rFonts w:eastAsia="Calibri" w:cs="Arial"/>
          <w:color w:val="244061" w:themeColor="accent1" w:themeShade="80"/>
          <w:sz w:val="20"/>
          <w:lang w:eastAsia="en-US"/>
        </w:rPr>
        <w:t xml:space="preserve"> u iznosu od </w:t>
      </w:r>
      <w:r w:rsidR="00D923C5" w:rsidRPr="009E1CD1">
        <w:rPr>
          <w:rFonts w:eastAsia="Calibri" w:cs="Arial"/>
          <w:color w:val="244061" w:themeColor="accent1" w:themeShade="80"/>
          <w:sz w:val="20"/>
          <w:lang w:eastAsia="en-US"/>
        </w:rPr>
        <w:t>3</w:t>
      </w:r>
      <w:r w:rsidR="00940AE9" w:rsidRPr="009E1CD1">
        <w:rPr>
          <w:rFonts w:eastAsia="Calibri" w:cs="Arial"/>
          <w:color w:val="244061" w:themeColor="accent1" w:themeShade="80"/>
          <w:sz w:val="20"/>
          <w:lang w:eastAsia="en-US"/>
        </w:rPr>
        <w:t>8</w:t>
      </w:r>
      <w:r w:rsidR="00D923C5" w:rsidRPr="009E1CD1">
        <w:rPr>
          <w:rFonts w:eastAsia="Calibri" w:cs="Arial"/>
          <w:color w:val="244061" w:themeColor="accent1" w:themeShade="80"/>
          <w:sz w:val="20"/>
          <w:lang w:eastAsia="en-US"/>
        </w:rPr>
        <w:t>,</w:t>
      </w:r>
      <w:r w:rsidR="00940AE9" w:rsidRPr="009E1CD1">
        <w:rPr>
          <w:rFonts w:eastAsia="Calibri" w:cs="Arial"/>
          <w:color w:val="244061" w:themeColor="accent1" w:themeShade="80"/>
          <w:sz w:val="20"/>
          <w:lang w:eastAsia="en-US"/>
        </w:rPr>
        <w:t>2</w:t>
      </w:r>
      <w:r w:rsidRPr="009E1CD1">
        <w:rPr>
          <w:rFonts w:eastAsia="Calibri" w:cs="Arial"/>
          <w:color w:val="244061" w:themeColor="accent1" w:themeShade="80"/>
          <w:sz w:val="20"/>
          <w:lang w:eastAsia="en-US"/>
        </w:rPr>
        <w:t xml:space="preserve"> milijard</w:t>
      </w:r>
      <w:r w:rsidR="00940AE9" w:rsidRPr="009E1CD1">
        <w:rPr>
          <w:rFonts w:eastAsia="Calibri" w:cs="Arial"/>
          <w:color w:val="244061" w:themeColor="accent1" w:themeShade="80"/>
          <w:sz w:val="20"/>
          <w:lang w:eastAsia="en-US"/>
        </w:rPr>
        <w:t>e</w:t>
      </w:r>
      <w:r w:rsidRPr="009E1CD1">
        <w:rPr>
          <w:rFonts w:eastAsia="Calibri" w:cs="Arial"/>
          <w:color w:val="244061" w:themeColor="accent1" w:themeShade="80"/>
          <w:sz w:val="20"/>
          <w:lang w:eastAsia="en-US"/>
        </w:rPr>
        <w:t xml:space="preserve"> kuna</w:t>
      </w:r>
      <w:r w:rsidR="00911E72" w:rsidRPr="009E1CD1">
        <w:rPr>
          <w:rFonts w:eastAsia="Calibri" w:cs="Arial"/>
          <w:color w:val="244061" w:themeColor="accent1" w:themeShade="80"/>
          <w:sz w:val="20"/>
          <w:lang w:eastAsia="en-US"/>
        </w:rPr>
        <w:t xml:space="preserve">, </w:t>
      </w:r>
      <w:r w:rsidRPr="009E1CD1">
        <w:rPr>
          <w:rFonts w:eastAsia="Calibri" w:cs="Arial"/>
          <w:color w:val="244061" w:themeColor="accent1" w:themeShade="80"/>
          <w:sz w:val="20"/>
          <w:lang w:eastAsia="en-US"/>
        </w:rPr>
        <w:t xml:space="preserve">što je povećanje od </w:t>
      </w:r>
      <w:r w:rsidR="00940AE9" w:rsidRPr="009E1CD1">
        <w:rPr>
          <w:rFonts w:eastAsia="Calibri" w:cs="Arial"/>
          <w:color w:val="244061" w:themeColor="accent1" w:themeShade="80"/>
          <w:sz w:val="20"/>
          <w:lang w:eastAsia="en-US"/>
        </w:rPr>
        <w:t>9,3</w:t>
      </w:r>
      <w:r w:rsidR="009D44C3" w:rsidRPr="009E1CD1">
        <w:rPr>
          <w:rFonts w:eastAsia="Calibri" w:cs="Arial"/>
          <w:color w:val="244061" w:themeColor="accent1" w:themeShade="80"/>
          <w:sz w:val="20"/>
          <w:lang w:eastAsia="en-US"/>
        </w:rPr>
        <w:t xml:space="preserve"> </w:t>
      </w:r>
      <w:r w:rsidRPr="009E1CD1">
        <w:rPr>
          <w:rFonts w:eastAsia="Calibri" w:cs="Arial"/>
          <w:color w:val="244061" w:themeColor="accent1" w:themeShade="80"/>
          <w:sz w:val="20"/>
          <w:lang w:eastAsia="en-US"/>
        </w:rPr>
        <w:t xml:space="preserve">% u odnosu na </w:t>
      </w:r>
      <w:r w:rsidR="00911E72" w:rsidRPr="009E1CD1">
        <w:rPr>
          <w:rFonts w:eastAsia="Calibri" w:cs="Arial"/>
          <w:color w:val="244061" w:themeColor="accent1" w:themeShade="80"/>
          <w:sz w:val="20"/>
          <w:lang w:eastAsia="en-US"/>
        </w:rPr>
        <w:t>201</w:t>
      </w:r>
      <w:r w:rsidR="00940AE9" w:rsidRPr="009E1CD1">
        <w:rPr>
          <w:rFonts w:eastAsia="Calibri" w:cs="Arial"/>
          <w:color w:val="244061" w:themeColor="accent1" w:themeShade="80"/>
          <w:sz w:val="20"/>
          <w:lang w:eastAsia="en-US"/>
        </w:rPr>
        <w:t>6</w:t>
      </w:r>
      <w:r w:rsidR="00911E72" w:rsidRPr="009E1CD1">
        <w:rPr>
          <w:rFonts w:eastAsia="Calibri" w:cs="Arial"/>
          <w:color w:val="244061" w:themeColor="accent1" w:themeShade="80"/>
          <w:sz w:val="20"/>
          <w:lang w:eastAsia="en-US"/>
        </w:rPr>
        <w:t>.</w:t>
      </w:r>
      <w:r w:rsidRPr="009E1CD1">
        <w:rPr>
          <w:rFonts w:eastAsia="Calibri" w:cs="Arial"/>
          <w:color w:val="244061" w:themeColor="accent1" w:themeShade="80"/>
          <w:sz w:val="20"/>
          <w:lang w:eastAsia="en-US"/>
        </w:rPr>
        <w:t xml:space="preserve"> </w:t>
      </w:r>
      <w:r w:rsidR="00C75A99" w:rsidRPr="009E1CD1">
        <w:rPr>
          <w:rFonts w:eastAsia="Calibri" w:cs="Arial"/>
          <w:color w:val="244061" w:themeColor="accent1" w:themeShade="80"/>
          <w:sz w:val="20"/>
          <w:lang w:eastAsia="en-US"/>
        </w:rPr>
        <w:t>g</w:t>
      </w:r>
      <w:r w:rsidRPr="009E1CD1">
        <w:rPr>
          <w:rFonts w:eastAsia="Calibri" w:cs="Arial"/>
          <w:color w:val="244061" w:themeColor="accent1" w:themeShade="80"/>
          <w:sz w:val="20"/>
          <w:lang w:eastAsia="en-US"/>
        </w:rPr>
        <w:t>odinu</w:t>
      </w:r>
      <w:r w:rsidR="00D745E9" w:rsidRPr="009E1CD1">
        <w:rPr>
          <w:rFonts w:eastAsia="Calibri" w:cs="Arial"/>
          <w:color w:val="244061" w:themeColor="accent1" w:themeShade="80"/>
          <w:sz w:val="20"/>
          <w:lang w:eastAsia="en-US"/>
        </w:rPr>
        <w:t xml:space="preserve"> (njihov udio u ukupnim prihodima poduzetnika Splitsko-dalmatinske županije je 83,0 %)</w:t>
      </w:r>
      <w:r w:rsidR="00321A10" w:rsidRPr="009E1CD1">
        <w:rPr>
          <w:rFonts w:eastAsia="Calibri" w:cs="Arial"/>
          <w:color w:val="244061" w:themeColor="accent1" w:themeShade="80"/>
          <w:sz w:val="20"/>
          <w:lang w:eastAsia="en-US"/>
        </w:rPr>
        <w:t xml:space="preserve"> </w:t>
      </w:r>
      <w:r w:rsidR="00304250" w:rsidRPr="009E1CD1">
        <w:rPr>
          <w:rFonts w:eastAsia="Calibri" w:cs="Arial"/>
          <w:color w:val="244061" w:themeColor="accent1" w:themeShade="80"/>
          <w:sz w:val="20"/>
          <w:lang w:eastAsia="en-US"/>
        </w:rPr>
        <w:t>te</w:t>
      </w:r>
      <w:r w:rsidR="00321A10" w:rsidRPr="009E1CD1">
        <w:rPr>
          <w:rFonts w:eastAsia="Calibri" w:cs="Arial"/>
          <w:color w:val="244061" w:themeColor="accent1" w:themeShade="80"/>
          <w:sz w:val="20"/>
          <w:lang w:eastAsia="en-US"/>
        </w:rPr>
        <w:t xml:space="preserve"> ukupne rashode u iznosu od 3</w:t>
      </w:r>
      <w:r w:rsidR="00940AE9" w:rsidRPr="009E1CD1">
        <w:rPr>
          <w:rFonts w:eastAsia="Calibri" w:cs="Arial"/>
          <w:color w:val="244061" w:themeColor="accent1" w:themeShade="80"/>
          <w:sz w:val="20"/>
          <w:lang w:eastAsia="en-US"/>
        </w:rPr>
        <w:t>6</w:t>
      </w:r>
      <w:r w:rsidR="00321A10" w:rsidRPr="009E1CD1">
        <w:rPr>
          <w:rFonts w:eastAsia="Calibri" w:cs="Arial"/>
          <w:color w:val="244061" w:themeColor="accent1" w:themeShade="80"/>
          <w:sz w:val="20"/>
          <w:lang w:eastAsia="en-US"/>
        </w:rPr>
        <w:t>,</w:t>
      </w:r>
      <w:r w:rsidR="00940AE9" w:rsidRPr="009E1CD1">
        <w:rPr>
          <w:rFonts w:eastAsia="Calibri" w:cs="Arial"/>
          <w:color w:val="244061" w:themeColor="accent1" w:themeShade="80"/>
          <w:sz w:val="20"/>
          <w:lang w:eastAsia="en-US"/>
        </w:rPr>
        <w:t>2</w:t>
      </w:r>
      <w:r w:rsidR="00321A10" w:rsidRPr="009E1CD1">
        <w:rPr>
          <w:rFonts w:eastAsia="Calibri" w:cs="Arial"/>
          <w:color w:val="244061" w:themeColor="accent1" w:themeShade="80"/>
          <w:sz w:val="20"/>
          <w:lang w:eastAsia="en-US"/>
        </w:rPr>
        <w:t xml:space="preserve"> milijard</w:t>
      </w:r>
      <w:r w:rsidR="00940AE9" w:rsidRPr="009E1CD1">
        <w:rPr>
          <w:rFonts w:eastAsia="Calibri" w:cs="Arial"/>
          <w:color w:val="244061" w:themeColor="accent1" w:themeShade="80"/>
          <w:sz w:val="20"/>
          <w:lang w:eastAsia="en-US"/>
        </w:rPr>
        <w:t>e</w:t>
      </w:r>
      <w:r w:rsidR="00321A10" w:rsidRPr="009E1CD1">
        <w:rPr>
          <w:rFonts w:eastAsia="Calibri" w:cs="Arial"/>
          <w:color w:val="244061" w:themeColor="accent1" w:themeShade="80"/>
          <w:sz w:val="20"/>
          <w:lang w:eastAsia="en-US"/>
        </w:rPr>
        <w:t xml:space="preserve"> kuna</w:t>
      </w:r>
      <w:r w:rsidR="00911E72" w:rsidRPr="009E1CD1">
        <w:rPr>
          <w:rFonts w:eastAsia="Calibri" w:cs="Arial"/>
          <w:color w:val="244061" w:themeColor="accent1" w:themeShade="80"/>
          <w:sz w:val="20"/>
          <w:lang w:eastAsia="en-US"/>
        </w:rPr>
        <w:t xml:space="preserve">, </w:t>
      </w:r>
      <w:r w:rsidR="00321A10" w:rsidRPr="009E1CD1">
        <w:rPr>
          <w:rFonts w:eastAsia="Calibri" w:cs="Arial"/>
          <w:color w:val="244061" w:themeColor="accent1" w:themeShade="80"/>
          <w:sz w:val="20"/>
          <w:lang w:eastAsia="en-US"/>
        </w:rPr>
        <w:t>što je povećanje od</w:t>
      </w:r>
      <w:r w:rsidR="00940AE9" w:rsidRPr="009E1CD1">
        <w:rPr>
          <w:rFonts w:eastAsia="Calibri" w:cs="Arial"/>
          <w:color w:val="244061" w:themeColor="accent1" w:themeShade="80"/>
          <w:sz w:val="20"/>
          <w:lang w:eastAsia="en-US"/>
        </w:rPr>
        <w:t xml:space="preserve"> 7,8</w:t>
      </w:r>
      <w:r w:rsidR="00D745E9" w:rsidRPr="009E1CD1">
        <w:rPr>
          <w:rFonts w:eastAsia="Calibri" w:cs="Arial"/>
          <w:color w:val="244061" w:themeColor="accent1" w:themeShade="80"/>
          <w:sz w:val="20"/>
          <w:lang w:eastAsia="en-US"/>
        </w:rPr>
        <w:t xml:space="preserve"> % u odnosu na prethodnu godinu</w:t>
      </w:r>
      <w:r w:rsidR="00911E72" w:rsidRPr="009E1CD1">
        <w:rPr>
          <w:rFonts w:eastAsia="Calibri" w:cs="Arial"/>
          <w:color w:val="244061" w:themeColor="accent1" w:themeShade="80"/>
          <w:sz w:val="20"/>
          <w:lang w:eastAsia="en-US"/>
        </w:rPr>
        <w:t xml:space="preserve">. </w:t>
      </w:r>
      <w:r w:rsidR="00D745E9" w:rsidRPr="009E1CD1">
        <w:rPr>
          <w:rFonts w:eastAsia="Calibri" w:cs="Arial"/>
          <w:color w:val="244061" w:themeColor="accent1" w:themeShade="80"/>
          <w:sz w:val="20"/>
          <w:lang w:eastAsia="en-US"/>
        </w:rPr>
        <w:t>U 2017. godini poduzetnici Urbane aglomeracije Split iskazali su pozitivan konsolidirani financijski rezultat u iznosu od 1,5 milijardi kuna</w:t>
      </w:r>
      <w:r w:rsidR="00396FA6">
        <w:rPr>
          <w:rFonts w:eastAsia="Calibri" w:cs="Arial"/>
          <w:color w:val="244061" w:themeColor="accent1" w:themeShade="80"/>
          <w:sz w:val="20"/>
          <w:lang w:eastAsia="en-US"/>
        </w:rPr>
        <w:t xml:space="preserve">, s tim da </w:t>
      </w:r>
      <w:r w:rsidR="00396FA6">
        <w:rPr>
          <w:rFonts w:eastAsia="Calibri" w:cs="Arial"/>
          <w:color w:val="244061" w:themeColor="accent1" w:themeShade="80"/>
          <w:sz w:val="20"/>
          <w:lang w:eastAsia="en-US"/>
        </w:rPr>
        <w:lastRenderedPageBreak/>
        <w:t>su jedino poduzetnici sa sjedištem u Trogiru ostvarili neto gubitak, u iznosu od 18,3 milijuna kuna</w:t>
      </w:r>
      <w:r w:rsidR="00135A66">
        <w:rPr>
          <w:rFonts w:eastAsia="Calibri" w:cs="Arial"/>
          <w:color w:val="244061" w:themeColor="accent1" w:themeShade="80"/>
          <w:sz w:val="20"/>
          <w:lang w:eastAsia="en-US"/>
        </w:rPr>
        <w:t>, na što je najviše utjecao gubitak dvaju društava</w:t>
      </w:r>
      <w:r w:rsidR="00396FA6">
        <w:rPr>
          <w:rFonts w:eastAsia="Calibri" w:cs="Arial"/>
          <w:color w:val="244061" w:themeColor="accent1" w:themeShade="80"/>
          <w:sz w:val="20"/>
          <w:lang w:eastAsia="en-US"/>
        </w:rPr>
        <w:t>.</w:t>
      </w:r>
      <w:r w:rsidR="008829EE">
        <w:rPr>
          <w:rFonts w:eastAsia="Calibri" w:cs="Arial"/>
          <w:color w:val="244061" w:themeColor="accent1" w:themeShade="80"/>
          <w:sz w:val="20"/>
          <w:lang w:eastAsia="en-US"/>
        </w:rPr>
        <w:t xml:space="preserve"> </w:t>
      </w:r>
      <w:hyperlink r:id="rId11" w:history="1">
        <w:r w:rsidR="00396FA6" w:rsidRPr="00135A66">
          <w:rPr>
            <w:rStyle w:val="Hiperveza"/>
            <w:rFonts w:eastAsia="Calibri" w:cs="Arial"/>
            <w:color w:val="3333FF"/>
            <w:sz w:val="20"/>
            <w:lang w:eastAsia="en-US"/>
          </w:rPr>
          <w:t>TROGIR MARITIME d.o.o</w:t>
        </w:r>
      </w:hyperlink>
      <w:r w:rsidR="00396FA6" w:rsidRPr="00396FA6">
        <w:rPr>
          <w:rFonts w:eastAsia="Calibri" w:cs="Arial"/>
          <w:color w:val="244061" w:themeColor="accent1" w:themeShade="80"/>
          <w:sz w:val="20"/>
          <w:lang w:eastAsia="en-US"/>
        </w:rPr>
        <w:t>.</w:t>
      </w:r>
      <w:r w:rsidR="00396FA6">
        <w:rPr>
          <w:rFonts w:eastAsia="Calibri" w:cs="Arial"/>
          <w:color w:val="244061" w:themeColor="accent1" w:themeShade="80"/>
          <w:sz w:val="20"/>
          <w:lang w:eastAsia="en-US"/>
        </w:rPr>
        <w:t xml:space="preserve"> je </w:t>
      </w:r>
      <w:r w:rsidR="008829EE">
        <w:rPr>
          <w:rFonts w:eastAsia="Calibri" w:cs="Arial"/>
          <w:color w:val="244061" w:themeColor="accent1" w:themeShade="80"/>
          <w:sz w:val="20"/>
          <w:lang w:eastAsia="en-US"/>
        </w:rPr>
        <w:t xml:space="preserve">društvo </w:t>
      </w:r>
      <w:r w:rsidR="00396FA6">
        <w:rPr>
          <w:rFonts w:eastAsia="Calibri" w:cs="Arial"/>
          <w:color w:val="244061" w:themeColor="accent1" w:themeShade="80"/>
          <w:sz w:val="20"/>
          <w:lang w:eastAsia="en-US"/>
        </w:rPr>
        <w:t>bez zaposlenih</w:t>
      </w:r>
      <w:r w:rsidR="008829EE">
        <w:rPr>
          <w:rFonts w:eastAsia="Calibri" w:cs="Arial"/>
          <w:color w:val="244061" w:themeColor="accent1" w:themeShade="80"/>
          <w:sz w:val="20"/>
          <w:lang w:eastAsia="en-US"/>
        </w:rPr>
        <w:t xml:space="preserve"> i bez prihoda u 2017. godini,</w:t>
      </w:r>
      <w:r w:rsidR="00396FA6">
        <w:rPr>
          <w:rFonts w:eastAsia="Calibri" w:cs="Arial"/>
          <w:color w:val="244061" w:themeColor="accent1" w:themeShade="80"/>
          <w:sz w:val="20"/>
          <w:lang w:eastAsia="en-US"/>
        </w:rPr>
        <w:t xml:space="preserve"> dok su rashodi iznosili 31,8 milijuna kuna, a isto toliko iznosio je i gubitak razdoblja. </w:t>
      </w:r>
      <w:r w:rsidR="008829EE">
        <w:rPr>
          <w:rFonts w:eastAsia="Calibri" w:cs="Arial"/>
          <w:color w:val="244061" w:themeColor="accent1" w:themeShade="80"/>
          <w:sz w:val="20"/>
          <w:lang w:eastAsia="en-US"/>
        </w:rPr>
        <w:t>D</w:t>
      </w:r>
      <w:r w:rsidR="00396FA6">
        <w:rPr>
          <w:rFonts w:eastAsia="Calibri" w:cs="Arial"/>
          <w:color w:val="244061" w:themeColor="accent1" w:themeShade="80"/>
          <w:sz w:val="20"/>
          <w:lang w:eastAsia="en-US"/>
        </w:rPr>
        <w:t xml:space="preserve">ruštvo </w:t>
      </w:r>
      <w:hyperlink r:id="rId12" w:history="1">
        <w:r w:rsidR="00396FA6" w:rsidRPr="00135A66">
          <w:rPr>
            <w:rStyle w:val="Hiperveza"/>
            <w:rFonts w:eastAsia="Calibri" w:cs="Arial"/>
            <w:color w:val="3333FF"/>
            <w:sz w:val="20"/>
            <w:lang w:eastAsia="en-US"/>
          </w:rPr>
          <w:t>GCH HOTELS, d.o.o</w:t>
        </w:r>
      </w:hyperlink>
      <w:r w:rsidR="00396FA6" w:rsidRPr="00135A66">
        <w:rPr>
          <w:rFonts w:eastAsia="Calibri" w:cs="Arial"/>
          <w:color w:val="3333FF"/>
          <w:sz w:val="20"/>
          <w:lang w:eastAsia="en-US"/>
        </w:rPr>
        <w:t>.</w:t>
      </w:r>
      <w:r w:rsidR="00135A66">
        <w:rPr>
          <w:rFonts w:eastAsia="Calibri" w:cs="Arial"/>
          <w:color w:val="3333FF"/>
          <w:sz w:val="20"/>
          <w:lang w:eastAsia="en-US"/>
        </w:rPr>
        <w:t xml:space="preserve"> </w:t>
      </w:r>
      <w:r w:rsidR="00135A66" w:rsidRPr="00135A66">
        <w:rPr>
          <w:rFonts w:eastAsia="Calibri" w:cs="Arial"/>
          <w:color w:val="244061" w:themeColor="accent1" w:themeShade="80"/>
          <w:sz w:val="20"/>
          <w:lang w:eastAsia="en-US"/>
        </w:rPr>
        <w:t>s jednim zaposlenim</w:t>
      </w:r>
      <w:r w:rsidR="00135A66">
        <w:rPr>
          <w:rFonts w:eastAsia="Calibri" w:cs="Arial"/>
          <w:color w:val="244061" w:themeColor="accent1" w:themeShade="80"/>
          <w:sz w:val="20"/>
          <w:lang w:eastAsia="en-US"/>
        </w:rPr>
        <w:t>,</w:t>
      </w:r>
      <w:r w:rsidR="00135A66" w:rsidRPr="00135A66">
        <w:rPr>
          <w:rFonts w:eastAsia="Calibri" w:cs="Arial"/>
          <w:color w:val="244061" w:themeColor="accent1" w:themeShade="80"/>
          <w:sz w:val="20"/>
          <w:lang w:eastAsia="en-US"/>
        </w:rPr>
        <w:t xml:space="preserve"> prihodom od </w:t>
      </w:r>
      <w:r w:rsidR="00135A66">
        <w:rPr>
          <w:rFonts w:eastAsia="Calibri" w:cs="Arial"/>
          <w:color w:val="244061" w:themeColor="accent1" w:themeShade="80"/>
          <w:sz w:val="20"/>
          <w:lang w:eastAsia="en-US"/>
        </w:rPr>
        <w:t xml:space="preserve">3,6 milijuna kuna i rashodima od 17,1 milijun kuna je </w:t>
      </w:r>
      <w:r w:rsidR="008829EE">
        <w:rPr>
          <w:rFonts w:eastAsia="Calibri" w:cs="Arial"/>
          <w:color w:val="244061" w:themeColor="accent1" w:themeShade="80"/>
          <w:sz w:val="20"/>
          <w:lang w:eastAsia="en-US"/>
        </w:rPr>
        <w:t xml:space="preserve">ostvarilo </w:t>
      </w:r>
      <w:r w:rsidR="00135A66">
        <w:rPr>
          <w:rFonts w:eastAsia="Calibri" w:cs="Arial"/>
          <w:color w:val="244061" w:themeColor="accent1" w:themeShade="80"/>
          <w:sz w:val="20"/>
          <w:lang w:eastAsia="en-US"/>
        </w:rPr>
        <w:t xml:space="preserve">gubitak razdoblja u 2017. godini </w:t>
      </w:r>
      <w:r w:rsidR="008829EE">
        <w:rPr>
          <w:rFonts w:eastAsia="Calibri" w:cs="Arial"/>
          <w:color w:val="244061" w:themeColor="accent1" w:themeShade="80"/>
          <w:sz w:val="20"/>
          <w:lang w:eastAsia="en-US"/>
        </w:rPr>
        <w:t xml:space="preserve">u </w:t>
      </w:r>
      <w:r w:rsidR="00135A66">
        <w:rPr>
          <w:rFonts w:eastAsia="Calibri" w:cs="Arial"/>
          <w:color w:val="244061" w:themeColor="accent1" w:themeShade="80"/>
          <w:sz w:val="20"/>
          <w:lang w:eastAsia="en-US"/>
        </w:rPr>
        <w:t>iznos</w:t>
      </w:r>
      <w:r w:rsidR="008829EE">
        <w:rPr>
          <w:rFonts w:eastAsia="Calibri" w:cs="Arial"/>
          <w:color w:val="244061" w:themeColor="accent1" w:themeShade="80"/>
          <w:sz w:val="20"/>
          <w:lang w:eastAsia="en-US"/>
        </w:rPr>
        <w:t>u od</w:t>
      </w:r>
      <w:r w:rsidR="00135A66">
        <w:rPr>
          <w:rFonts w:eastAsia="Calibri" w:cs="Arial"/>
          <w:color w:val="244061" w:themeColor="accent1" w:themeShade="80"/>
          <w:sz w:val="20"/>
          <w:lang w:eastAsia="en-US"/>
        </w:rPr>
        <w:t xml:space="preserve"> 13,5 milijuna kuna.</w:t>
      </w:r>
    </w:p>
    <w:p w:rsidR="00E65163" w:rsidRPr="00C32E28" w:rsidRDefault="00E236D7" w:rsidP="00396FA6">
      <w:pPr>
        <w:widowControl w:val="0"/>
        <w:tabs>
          <w:tab w:val="left" w:pos="567"/>
        </w:tabs>
        <w:spacing w:before="120" w:line="276" w:lineRule="auto"/>
        <w:rPr>
          <w:rFonts w:eastAsia="Calibri" w:cs="Arial"/>
          <w:color w:val="244061" w:themeColor="accent1" w:themeShade="80"/>
          <w:sz w:val="20"/>
          <w:lang w:eastAsia="en-US"/>
        </w:rPr>
      </w:pPr>
      <w:r>
        <w:rPr>
          <w:rFonts w:eastAsia="Calibri" w:cs="Arial"/>
          <w:color w:val="244061" w:themeColor="accent1" w:themeShade="80"/>
          <w:sz w:val="20"/>
          <w:lang w:eastAsia="en-US"/>
        </w:rPr>
        <w:t>Prema ukupnom prihodu u</w:t>
      </w:r>
      <w:r w:rsidR="00E65163" w:rsidRPr="00C32E28">
        <w:rPr>
          <w:rFonts w:eastAsia="Calibri" w:cs="Arial"/>
          <w:color w:val="244061" w:themeColor="accent1" w:themeShade="80"/>
          <w:sz w:val="20"/>
          <w:lang w:eastAsia="en-US"/>
        </w:rPr>
        <w:t xml:space="preserve"> </w:t>
      </w:r>
      <w:r w:rsidR="00EA5D5F" w:rsidRPr="00C32E28">
        <w:rPr>
          <w:rFonts w:eastAsia="Calibri" w:cs="Arial"/>
          <w:color w:val="244061" w:themeColor="accent1" w:themeShade="80"/>
          <w:sz w:val="20"/>
          <w:lang w:eastAsia="en-US"/>
        </w:rPr>
        <w:t>U</w:t>
      </w:r>
      <w:r w:rsidR="00E65163" w:rsidRPr="00C32E28">
        <w:rPr>
          <w:rFonts w:eastAsia="Calibri" w:cs="Arial"/>
          <w:color w:val="244061" w:themeColor="accent1" w:themeShade="80"/>
          <w:sz w:val="20"/>
          <w:lang w:eastAsia="en-US"/>
        </w:rPr>
        <w:t>rban</w:t>
      </w:r>
      <w:r>
        <w:rPr>
          <w:rFonts w:eastAsia="Calibri" w:cs="Arial"/>
          <w:color w:val="244061" w:themeColor="accent1" w:themeShade="80"/>
          <w:sz w:val="20"/>
          <w:lang w:eastAsia="en-US"/>
        </w:rPr>
        <w:t>oj</w:t>
      </w:r>
      <w:r w:rsidR="00E65163" w:rsidRPr="00C32E28">
        <w:rPr>
          <w:rFonts w:eastAsia="Calibri" w:cs="Arial"/>
          <w:color w:val="244061" w:themeColor="accent1" w:themeShade="80"/>
          <w:sz w:val="20"/>
          <w:lang w:eastAsia="en-US"/>
        </w:rPr>
        <w:t xml:space="preserve"> aglomeracij</w:t>
      </w:r>
      <w:r>
        <w:rPr>
          <w:rFonts w:eastAsia="Calibri" w:cs="Arial"/>
          <w:color w:val="244061" w:themeColor="accent1" w:themeShade="80"/>
          <w:sz w:val="20"/>
          <w:lang w:eastAsia="en-US"/>
        </w:rPr>
        <w:t>i</w:t>
      </w:r>
      <w:r w:rsidR="00E65163" w:rsidRPr="00C32E28">
        <w:rPr>
          <w:rFonts w:eastAsia="Calibri" w:cs="Arial"/>
          <w:color w:val="244061" w:themeColor="accent1" w:themeShade="80"/>
          <w:sz w:val="20"/>
          <w:lang w:eastAsia="en-US"/>
        </w:rPr>
        <w:t xml:space="preserve"> </w:t>
      </w:r>
      <w:r w:rsidR="00D923C5" w:rsidRPr="00C32E28">
        <w:rPr>
          <w:rFonts w:eastAsia="Calibri" w:cs="Arial"/>
          <w:color w:val="244061" w:themeColor="accent1" w:themeShade="80"/>
          <w:sz w:val="20"/>
          <w:lang w:eastAsia="en-US"/>
        </w:rPr>
        <w:t>Split</w:t>
      </w:r>
      <w:r w:rsidR="00E65163" w:rsidRPr="00C32E28">
        <w:rPr>
          <w:rFonts w:eastAsia="Calibri" w:cs="Arial"/>
          <w:color w:val="244061" w:themeColor="accent1" w:themeShade="80"/>
          <w:sz w:val="20"/>
          <w:lang w:eastAsia="en-US"/>
        </w:rPr>
        <w:t xml:space="preserve"> najveći je udio poduzetnika </w:t>
      </w:r>
      <w:r w:rsidR="00911E72" w:rsidRPr="00C32E28">
        <w:rPr>
          <w:rFonts w:eastAsia="Calibri" w:cs="Arial"/>
          <w:color w:val="244061" w:themeColor="accent1" w:themeShade="80"/>
          <w:sz w:val="20"/>
          <w:lang w:eastAsia="en-US"/>
        </w:rPr>
        <w:t xml:space="preserve">sa sjedištem u </w:t>
      </w:r>
      <w:r w:rsidR="00D923C5" w:rsidRPr="00C32E28">
        <w:rPr>
          <w:rFonts w:eastAsia="Calibri" w:cs="Arial"/>
          <w:color w:val="244061" w:themeColor="accent1" w:themeShade="80"/>
          <w:sz w:val="20"/>
          <w:lang w:eastAsia="en-US"/>
        </w:rPr>
        <w:t>Split</w:t>
      </w:r>
      <w:r w:rsidR="00911E72" w:rsidRPr="00C32E28">
        <w:rPr>
          <w:rFonts w:eastAsia="Calibri" w:cs="Arial"/>
          <w:color w:val="244061" w:themeColor="accent1" w:themeShade="80"/>
          <w:sz w:val="20"/>
          <w:lang w:eastAsia="en-US"/>
        </w:rPr>
        <w:t>u</w:t>
      </w:r>
      <w:r>
        <w:rPr>
          <w:rFonts w:eastAsia="Calibri" w:cs="Arial"/>
          <w:color w:val="244061" w:themeColor="accent1" w:themeShade="80"/>
          <w:sz w:val="20"/>
          <w:lang w:eastAsia="en-US"/>
        </w:rPr>
        <w:t xml:space="preserve"> (</w:t>
      </w:r>
      <w:r w:rsidR="00BE465E" w:rsidRPr="00C32E28">
        <w:rPr>
          <w:rFonts w:eastAsia="Calibri" w:cs="Arial"/>
          <w:color w:val="244061" w:themeColor="accent1" w:themeShade="80"/>
          <w:sz w:val="20"/>
          <w:lang w:eastAsia="en-US"/>
        </w:rPr>
        <w:t>60,</w:t>
      </w:r>
      <w:r w:rsidR="00C32E28" w:rsidRPr="00C32E28">
        <w:rPr>
          <w:rFonts w:eastAsia="Calibri" w:cs="Arial"/>
          <w:color w:val="244061" w:themeColor="accent1" w:themeShade="80"/>
          <w:sz w:val="20"/>
          <w:lang w:eastAsia="en-US"/>
        </w:rPr>
        <w:t>0</w:t>
      </w:r>
      <w:r w:rsidR="00BE465E" w:rsidRPr="00C32E28">
        <w:rPr>
          <w:rFonts w:eastAsia="Calibri" w:cs="Arial"/>
          <w:color w:val="244061" w:themeColor="accent1" w:themeShade="80"/>
          <w:sz w:val="20"/>
          <w:lang w:eastAsia="en-US"/>
        </w:rPr>
        <w:t xml:space="preserve"> %</w:t>
      </w:r>
      <w:r>
        <w:rPr>
          <w:rFonts w:eastAsia="Calibri" w:cs="Arial"/>
          <w:color w:val="244061" w:themeColor="accent1" w:themeShade="80"/>
          <w:sz w:val="20"/>
          <w:lang w:eastAsia="en-US"/>
        </w:rPr>
        <w:t>) s ostvarenih</w:t>
      </w:r>
      <w:r w:rsidRPr="00E236D7">
        <w:rPr>
          <w:rFonts w:eastAsia="Calibri" w:cs="Arial"/>
          <w:color w:val="244061" w:themeColor="accent1" w:themeShade="80"/>
          <w:sz w:val="20"/>
          <w:lang w:eastAsia="en-US"/>
        </w:rPr>
        <w:t xml:space="preserve"> 22,8 milijardi kuna</w:t>
      </w:r>
      <w:r>
        <w:rPr>
          <w:rFonts w:eastAsia="Calibri" w:cs="Arial"/>
          <w:color w:val="244061" w:themeColor="accent1" w:themeShade="80"/>
          <w:sz w:val="20"/>
          <w:lang w:eastAsia="en-US"/>
        </w:rPr>
        <w:t>,</w:t>
      </w:r>
      <w:r w:rsidR="00BE465E" w:rsidRPr="00C32E28">
        <w:rPr>
          <w:rFonts w:eastAsia="Calibri" w:cs="Arial"/>
          <w:color w:val="244061" w:themeColor="accent1" w:themeShade="80"/>
          <w:sz w:val="20"/>
          <w:lang w:eastAsia="en-US"/>
        </w:rPr>
        <w:t xml:space="preserve"> </w:t>
      </w:r>
      <w:r w:rsidR="005E652A" w:rsidRPr="00C32E28">
        <w:rPr>
          <w:rFonts w:eastAsia="Calibri" w:cs="Arial"/>
          <w:color w:val="244061" w:themeColor="accent1" w:themeShade="80"/>
          <w:sz w:val="20"/>
          <w:lang w:eastAsia="en-US"/>
        </w:rPr>
        <w:t>Solin</w:t>
      </w:r>
      <w:r w:rsidR="00BE465E" w:rsidRPr="00C32E28">
        <w:rPr>
          <w:rFonts w:eastAsia="Calibri" w:cs="Arial"/>
          <w:color w:val="244061" w:themeColor="accent1" w:themeShade="80"/>
          <w:sz w:val="20"/>
          <w:lang w:eastAsia="en-US"/>
        </w:rPr>
        <w:t xml:space="preserve">a </w:t>
      </w:r>
      <w:r>
        <w:rPr>
          <w:rFonts w:eastAsia="Calibri" w:cs="Arial"/>
          <w:color w:val="244061" w:themeColor="accent1" w:themeShade="80"/>
          <w:sz w:val="20"/>
          <w:lang w:eastAsia="en-US"/>
        </w:rPr>
        <w:t>(</w:t>
      </w:r>
      <w:r w:rsidRPr="00E236D7">
        <w:rPr>
          <w:rFonts w:eastAsia="Calibri" w:cs="Arial"/>
          <w:color w:val="244061" w:themeColor="accent1" w:themeShade="80"/>
          <w:sz w:val="20"/>
          <w:lang w:eastAsia="en-US"/>
        </w:rPr>
        <w:t>10,2 %</w:t>
      </w:r>
      <w:r>
        <w:rPr>
          <w:rFonts w:eastAsia="Calibri" w:cs="Arial"/>
          <w:color w:val="244061" w:themeColor="accent1" w:themeShade="80"/>
          <w:sz w:val="20"/>
          <w:lang w:eastAsia="en-US"/>
        </w:rPr>
        <w:t>),</w:t>
      </w:r>
      <w:r w:rsidRPr="00E236D7">
        <w:rPr>
          <w:rFonts w:eastAsia="Calibri" w:cs="Arial"/>
          <w:color w:val="244061" w:themeColor="accent1" w:themeShade="80"/>
          <w:sz w:val="20"/>
          <w:lang w:eastAsia="en-US"/>
        </w:rPr>
        <w:t xml:space="preserve"> </w:t>
      </w:r>
      <w:r w:rsidR="00BE465E" w:rsidRPr="00C32E28">
        <w:rPr>
          <w:rFonts w:eastAsia="Calibri" w:cs="Arial"/>
          <w:color w:val="244061" w:themeColor="accent1" w:themeShade="80"/>
          <w:sz w:val="20"/>
          <w:lang w:eastAsia="en-US"/>
        </w:rPr>
        <w:t xml:space="preserve">s </w:t>
      </w:r>
      <w:r>
        <w:rPr>
          <w:rFonts w:eastAsia="Calibri" w:cs="Arial"/>
          <w:color w:val="244061" w:themeColor="accent1" w:themeShade="80"/>
          <w:sz w:val="20"/>
          <w:lang w:eastAsia="en-US"/>
        </w:rPr>
        <w:t xml:space="preserve">ostvarenih </w:t>
      </w:r>
      <w:r w:rsidR="005E652A" w:rsidRPr="00C32E28">
        <w:rPr>
          <w:rFonts w:eastAsia="Calibri" w:cs="Arial"/>
          <w:color w:val="244061" w:themeColor="accent1" w:themeShade="80"/>
          <w:sz w:val="20"/>
          <w:lang w:eastAsia="en-US"/>
        </w:rPr>
        <w:t>3,</w:t>
      </w:r>
      <w:r w:rsidR="00C32E28" w:rsidRPr="00C32E28">
        <w:rPr>
          <w:rFonts w:eastAsia="Calibri" w:cs="Arial"/>
          <w:color w:val="244061" w:themeColor="accent1" w:themeShade="80"/>
          <w:sz w:val="20"/>
          <w:lang w:eastAsia="en-US"/>
        </w:rPr>
        <w:t>9</w:t>
      </w:r>
      <w:r w:rsidR="00BE465E" w:rsidRPr="00C32E28">
        <w:rPr>
          <w:rFonts w:eastAsia="Calibri" w:cs="Arial"/>
          <w:color w:val="244061" w:themeColor="accent1" w:themeShade="80"/>
          <w:sz w:val="20"/>
          <w:lang w:eastAsia="en-US"/>
        </w:rPr>
        <w:t xml:space="preserve"> milijardi kuna</w:t>
      </w:r>
      <w:r w:rsidR="003F0F25" w:rsidRPr="00C32E28">
        <w:rPr>
          <w:rFonts w:eastAsia="Calibri" w:cs="Arial"/>
          <w:color w:val="244061" w:themeColor="accent1" w:themeShade="80"/>
          <w:sz w:val="20"/>
          <w:lang w:eastAsia="en-US"/>
        </w:rPr>
        <w:t xml:space="preserve"> i </w:t>
      </w:r>
      <w:r w:rsidR="00AF099D" w:rsidRPr="00C32E28">
        <w:rPr>
          <w:rFonts w:eastAsia="Calibri" w:cs="Arial"/>
          <w:color w:val="244061" w:themeColor="accent1" w:themeShade="80"/>
          <w:sz w:val="20"/>
          <w:lang w:eastAsia="en-US"/>
        </w:rPr>
        <w:t>poduzetni</w:t>
      </w:r>
      <w:r w:rsidR="00D745E9">
        <w:rPr>
          <w:rFonts w:eastAsia="Calibri" w:cs="Arial"/>
          <w:color w:val="244061" w:themeColor="accent1" w:themeShade="80"/>
          <w:sz w:val="20"/>
          <w:lang w:eastAsia="en-US"/>
        </w:rPr>
        <w:t>ka</w:t>
      </w:r>
      <w:r w:rsidR="00AF099D" w:rsidRPr="00C32E28">
        <w:rPr>
          <w:rFonts w:eastAsia="Calibri" w:cs="Arial"/>
          <w:color w:val="244061" w:themeColor="accent1" w:themeShade="80"/>
          <w:sz w:val="20"/>
          <w:lang w:eastAsia="en-US"/>
        </w:rPr>
        <w:t xml:space="preserve"> </w:t>
      </w:r>
      <w:r w:rsidR="005E652A" w:rsidRPr="00C32E28">
        <w:rPr>
          <w:rFonts w:eastAsia="Calibri" w:cs="Arial"/>
          <w:color w:val="244061" w:themeColor="accent1" w:themeShade="80"/>
          <w:sz w:val="20"/>
          <w:lang w:eastAsia="en-US"/>
        </w:rPr>
        <w:t>Kaštel</w:t>
      </w:r>
      <w:r w:rsidR="00BE465E" w:rsidRPr="00C32E28">
        <w:rPr>
          <w:rFonts w:eastAsia="Calibri" w:cs="Arial"/>
          <w:color w:val="244061" w:themeColor="accent1" w:themeShade="80"/>
          <w:sz w:val="20"/>
          <w:lang w:eastAsia="en-US"/>
        </w:rPr>
        <w:t xml:space="preserve">a </w:t>
      </w:r>
      <w:r>
        <w:rPr>
          <w:rFonts w:eastAsia="Calibri" w:cs="Arial"/>
          <w:color w:val="244061" w:themeColor="accent1" w:themeShade="80"/>
          <w:sz w:val="20"/>
          <w:lang w:eastAsia="en-US"/>
        </w:rPr>
        <w:t>(</w:t>
      </w:r>
      <w:r w:rsidRPr="00E236D7">
        <w:rPr>
          <w:rFonts w:eastAsia="Calibri" w:cs="Arial"/>
          <w:color w:val="244061" w:themeColor="accent1" w:themeShade="80"/>
          <w:sz w:val="20"/>
          <w:lang w:eastAsia="en-US"/>
        </w:rPr>
        <w:t>7,6 %</w:t>
      </w:r>
      <w:r>
        <w:rPr>
          <w:rFonts w:eastAsia="Calibri" w:cs="Arial"/>
          <w:color w:val="244061" w:themeColor="accent1" w:themeShade="80"/>
          <w:sz w:val="20"/>
          <w:lang w:eastAsia="en-US"/>
        </w:rPr>
        <w:t>),</w:t>
      </w:r>
      <w:r w:rsidRPr="00E236D7">
        <w:rPr>
          <w:rFonts w:eastAsia="Calibri" w:cs="Arial"/>
          <w:color w:val="244061" w:themeColor="accent1" w:themeShade="80"/>
          <w:sz w:val="20"/>
          <w:lang w:eastAsia="en-US"/>
        </w:rPr>
        <w:t xml:space="preserve"> </w:t>
      </w:r>
      <w:r w:rsidR="00BE465E" w:rsidRPr="00C32E28">
        <w:rPr>
          <w:rFonts w:eastAsia="Calibri" w:cs="Arial"/>
          <w:color w:val="244061" w:themeColor="accent1" w:themeShade="80"/>
          <w:sz w:val="20"/>
          <w:lang w:eastAsia="en-US"/>
        </w:rPr>
        <w:t xml:space="preserve">s </w:t>
      </w:r>
      <w:r w:rsidR="005A4D79" w:rsidRPr="00C32E28">
        <w:rPr>
          <w:rFonts w:eastAsia="Calibri" w:cs="Arial"/>
          <w:color w:val="244061" w:themeColor="accent1" w:themeShade="80"/>
          <w:sz w:val="20"/>
          <w:lang w:eastAsia="en-US"/>
        </w:rPr>
        <w:t>2,</w:t>
      </w:r>
      <w:r w:rsidR="00C32E28" w:rsidRPr="00C32E28">
        <w:rPr>
          <w:rFonts w:eastAsia="Calibri" w:cs="Arial"/>
          <w:color w:val="244061" w:themeColor="accent1" w:themeShade="80"/>
          <w:sz w:val="20"/>
          <w:lang w:eastAsia="en-US"/>
        </w:rPr>
        <w:t>9</w:t>
      </w:r>
      <w:r w:rsidR="005E652A" w:rsidRPr="00C32E28">
        <w:rPr>
          <w:rFonts w:eastAsia="Calibri" w:cs="Arial"/>
          <w:color w:val="244061" w:themeColor="accent1" w:themeShade="80"/>
          <w:sz w:val="20"/>
          <w:lang w:eastAsia="en-US"/>
        </w:rPr>
        <w:t xml:space="preserve"> </w:t>
      </w:r>
      <w:r w:rsidR="00BE465E" w:rsidRPr="00C32E28">
        <w:rPr>
          <w:rFonts w:eastAsia="Calibri" w:cs="Arial"/>
          <w:color w:val="244061" w:themeColor="accent1" w:themeShade="80"/>
          <w:sz w:val="20"/>
          <w:lang w:eastAsia="en-US"/>
        </w:rPr>
        <w:t>milijardi kuna</w:t>
      </w:r>
      <w:r w:rsidR="003F0F25" w:rsidRPr="00C32E28">
        <w:rPr>
          <w:rFonts w:eastAsia="Calibri" w:cs="Arial"/>
          <w:color w:val="244061" w:themeColor="accent1" w:themeShade="80"/>
          <w:sz w:val="20"/>
          <w:lang w:eastAsia="en-US"/>
        </w:rPr>
        <w:t xml:space="preserve"> ukupni</w:t>
      </w:r>
      <w:r>
        <w:rPr>
          <w:rFonts w:eastAsia="Calibri" w:cs="Arial"/>
          <w:color w:val="244061" w:themeColor="accent1" w:themeShade="80"/>
          <w:sz w:val="20"/>
          <w:lang w:eastAsia="en-US"/>
        </w:rPr>
        <w:t>h</w:t>
      </w:r>
      <w:r w:rsidR="003F0F25" w:rsidRPr="00C32E28">
        <w:rPr>
          <w:rFonts w:eastAsia="Calibri" w:cs="Arial"/>
          <w:color w:val="244061" w:themeColor="accent1" w:themeShade="80"/>
          <w:sz w:val="20"/>
          <w:lang w:eastAsia="en-US"/>
        </w:rPr>
        <w:t xml:space="preserve"> prihod</w:t>
      </w:r>
      <w:r>
        <w:rPr>
          <w:rFonts w:eastAsia="Calibri" w:cs="Arial"/>
          <w:color w:val="244061" w:themeColor="accent1" w:themeShade="80"/>
          <w:sz w:val="20"/>
          <w:lang w:eastAsia="en-US"/>
        </w:rPr>
        <w:t>a.</w:t>
      </w:r>
    </w:p>
    <w:p w:rsidR="00E65163" w:rsidRDefault="00E65163" w:rsidP="00EB18D3">
      <w:pPr>
        <w:widowControl w:val="0"/>
        <w:spacing w:after="20"/>
        <w:ind w:left="1134" w:hanging="1134"/>
        <w:jc w:val="left"/>
        <w:rPr>
          <w:rFonts w:eastAsia="Calibri" w:cs="Arial"/>
          <w:color w:val="244061"/>
          <w:sz w:val="16"/>
          <w:szCs w:val="18"/>
          <w:lang w:eastAsia="en-US"/>
        </w:rPr>
      </w:pPr>
      <w:r w:rsidRPr="003E42C5">
        <w:rPr>
          <w:rFonts w:eastAsia="Calibri" w:cs="Arial"/>
          <w:b/>
          <w:color w:val="17365D"/>
          <w:sz w:val="18"/>
          <w:szCs w:val="18"/>
          <w:lang w:eastAsia="en-US"/>
        </w:rPr>
        <w:t xml:space="preserve">Tablica </w:t>
      </w:r>
      <w:r w:rsidR="00B0422F"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eastAsia="Calibri" w:cs="Arial"/>
          <w:b/>
          <w:color w:val="17365D"/>
          <w:sz w:val="18"/>
          <w:szCs w:val="18"/>
          <w:lang w:eastAsia="en-US"/>
        </w:rPr>
        <w:tab/>
      </w:r>
      <w:r w:rsidRPr="003E42C5">
        <w:rPr>
          <w:rFonts w:eastAsia="Calibri" w:cs="Arial"/>
          <w:b/>
          <w:color w:val="244061"/>
          <w:sz w:val="18"/>
          <w:szCs w:val="18"/>
          <w:lang w:eastAsia="en-US"/>
        </w:rPr>
        <w:t xml:space="preserve">Osnovni financijski podaci poslovanja poduzetnika na području Urbane aglomeracije </w:t>
      </w:r>
      <w:r w:rsidR="00EA5D5F" w:rsidRPr="003E42C5">
        <w:rPr>
          <w:rFonts w:eastAsia="Calibri" w:cs="Arial"/>
          <w:b/>
          <w:color w:val="244061"/>
          <w:sz w:val="18"/>
          <w:szCs w:val="18"/>
          <w:lang w:eastAsia="en-US"/>
        </w:rPr>
        <w:t>Split</w:t>
      </w:r>
      <w:r w:rsidR="00836C5C" w:rsidRPr="003E42C5">
        <w:rPr>
          <w:rFonts w:eastAsia="Calibri" w:cs="Arial"/>
          <w:b/>
          <w:color w:val="244061"/>
          <w:sz w:val="18"/>
          <w:szCs w:val="18"/>
          <w:lang w:eastAsia="en-US"/>
        </w:rPr>
        <w:t xml:space="preserve"> i po</w:t>
      </w:r>
      <w:r w:rsidRPr="003E42C5">
        <w:rPr>
          <w:rFonts w:eastAsia="Calibri" w:cs="Arial"/>
          <w:b/>
          <w:color w:val="244061"/>
          <w:sz w:val="18"/>
          <w:szCs w:val="18"/>
          <w:lang w:eastAsia="en-US"/>
        </w:rPr>
        <w:t xml:space="preserve">duzetnika </w:t>
      </w:r>
      <w:r w:rsidR="008179C8" w:rsidRPr="003E42C5">
        <w:rPr>
          <w:rFonts w:eastAsia="Calibri" w:cs="Arial"/>
          <w:b/>
          <w:color w:val="244061"/>
          <w:sz w:val="18"/>
          <w:szCs w:val="18"/>
          <w:lang w:eastAsia="en-US"/>
        </w:rPr>
        <w:t>Splitsko-dalmatinsk</w:t>
      </w:r>
      <w:r w:rsidRPr="003E42C5">
        <w:rPr>
          <w:rFonts w:eastAsia="Calibri" w:cs="Arial"/>
          <w:b/>
          <w:color w:val="244061"/>
          <w:sz w:val="18"/>
          <w:szCs w:val="18"/>
          <w:lang w:eastAsia="en-US"/>
        </w:rPr>
        <w:t>e županije u 201</w:t>
      </w:r>
      <w:r w:rsidR="002D009C">
        <w:rPr>
          <w:rFonts w:eastAsia="Calibri" w:cs="Arial"/>
          <w:b/>
          <w:color w:val="244061"/>
          <w:sz w:val="18"/>
          <w:szCs w:val="18"/>
          <w:lang w:eastAsia="en-US"/>
        </w:rPr>
        <w:t>7</w:t>
      </w:r>
      <w:r w:rsidRPr="003E42C5">
        <w:rPr>
          <w:rFonts w:eastAsia="Calibri" w:cs="Arial"/>
          <w:b/>
          <w:color w:val="244061"/>
          <w:sz w:val="18"/>
          <w:szCs w:val="18"/>
          <w:lang w:eastAsia="en-US"/>
        </w:rPr>
        <w:t>. godini</w:t>
      </w:r>
      <w:r w:rsidRPr="003E42C5">
        <w:rPr>
          <w:rFonts w:eastAsia="Calibri" w:cs="Arial"/>
          <w:color w:val="244061"/>
          <w:sz w:val="18"/>
          <w:szCs w:val="18"/>
          <w:lang w:eastAsia="en-US"/>
        </w:rPr>
        <w:t xml:space="preserve"> </w:t>
      </w:r>
      <w:r w:rsidRPr="003E42C5">
        <w:rPr>
          <w:rFonts w:eastAsia="Calibri" w:cs="Arial"/>
          <w:color w:val="17365D"/>
          <w:sz w:val="18"/>
          <w:szCs w:val="18"/>
          <w:lang w:eastAsia="en-US"/>
        </w:rPr>
        <w:tab/>
      </w:r>
      <w:r w:rsidRPr="00AA09BC">
        <w:rPr>
          <w:rFonts w:eastAsia="Calibri" w:cs="Arial"/>
          <w:i/>
          <w:color w:val="244061"/>
          <w:sz w:val="16"/>
          <w:szCs w:val="18"/>
          <w:lang w:eastAsia="en-US"/>
        </w:rPr>
        <w:t>(iznosi u tisućama kuna, prosječne plaće u k</w:t>
      </w:r>
      <w:r w:rsidR="00BC332B" w:rsidRPr="00AA09BC">
        <w:rPr>
          <w:rFonts w:eastAsia="Calibri" w:cs="Arial"/>
          <w:i/>
          <w:color w:val="244061"/>
          <w:sz w:val="16"/>
          <w:szCs w:val="18"/>
          <w:lang w:eastAsia="en-US"/>
        </w:rPr>
        <w:t>n</w:t>
      </w:r>
      <w:r w:rsidRPr="00AA09BC">
        <w:rPr>
          <w:rFonts w:eastAsia="Calibri" w:cs="Arial"/>
          <w:i/>
          <w:color w:val="244061"/>
          <w:sz w:val="16"/>
          <w:szCs w:val="18"/>
          <w:lang w:eastAsia="en-US"/>
        </w:rPr>
        <w:t>)</w:t>
      </w:r>
    </w:p>
    <w:tbl>
      <w:tblPr>
        <w:tblW w:w="9864" w:type="dxa"/>
        <w:jc w:val="center"/>
        <w:tblLook w:val="04A0" w:firstRow="1" w:lastRow="0" w:firstColumn="1" w:lastColumn="0" w:noHBand="0" w:noVBand="1"/>
      </w:tblPr>
      <w:tblGrid>
        <w:gridCol w:w="4309"/>
        <w:gridCol w:w="1020"/>
        <w:gridCol w:w="1020"/>
        <w:gridCol w:w="737"/>
        <w:gridCol w:w="1020"/>
        <w:gridCol w:w="1020"/>
        <w:gridCol w:w="738"/>
      </w:tblGrid>
      <w:tr w:rsidR="00AA09BC" w:rsidRPr="0061713D" w:rsidTr="0061713D">
        <w:trPr>
          <w:trHeight w:val="283"/>
          <w:jc w:val="center"/>
        </w:trPr>
        <w:tc>
          <w:tcPr>
            <w:tcW w:w="430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bookmarkStart w:id="0" w:name="RANGE!A1"/>
            <w:r w:rsidRPr="00AA09BC">
              <w:rPr>
                <w:rFonts w:cs="Arial"/>
                <w:b/>
                <w:bCs/>
                <w:color w:val="FFFFFF"/>
                <w:sz w:val="16"/>
                <w:szCs w:val="16"/>
              </w:rPr>
              <w:t>Opis</w:t>
            </w:r>
            <w:bookmarkEnd w:id="0"/>
          </w:p>
        </w:tc>
        <w:tc>
          <w:tcPr>
            <w:tcW w:w="27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8"/>
                <w:szCs w:val="18"/>
              </w:rPr>
            </w:pPr>
            <w:r w:rsidRPr="00AA09BC">
              <w:rPr>
                <w:rFonts w:cs="Arial"/>
                <w:b/>
                <w:bCs/>
                <w:color w:val="FFFFFF"/>
                <w:sz w:val="18"/>
                <w:szCs w:val="18"/>
              </w:rPr>
              <w:t>Urbana aglomeracija Split</w:t>
            </w:r>
          </w:p>
        </w:tc>
        <w:tc>
          <w:tcPr>
            <w:tcW w:w="27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61713D">
            <w:pPr>
              <w:spacing w:before="0"/>
              <w:jc w:val="center"/>
              <w:rPr>
                <w:rFonts w:cs="Arial"/>
                <w:b/>
                <w:bCs/>
                <w:color w:val="FFFFFF"/>
                <w:sz w:val="18"/>
                <w:szCs w:val="18"/>
              </w:rPr>
            </w:pPr>
            <w:r w:rsidRPr="00AA09BC">
              <w:rPr>
                <w:rFonts w:cs="Arial"/>
                <w:b/>
                <w:bCs/>
                <w:color w:val="FFFFFF"/>
                <w:sz w:val="18"/>
                <w:szCs w:val="18"/>
              </w:rPr>
              <w:t>Splitsko-dalmatinska žup</w:t>
            </w:r>
            <w:r w:rsidR="0061713D">
              <w:rPr>
                <w:rFonts w:cs="Arial"/>
                <w:b/>
                <w:bCs/>
                <w:color w:val="FFFFFF"/>
                <w:sz w:val="18"/>
                <w:szCs w:val="18"/>
              </w:rPr>
              <w:t>.</w:t>
            </w:r>
          </w:p>
        </w:tc>
      </w:tr>
      <w:tr w:rsidR="0061713D" w:rsidRPr="0061713D" w:rsidTr="00E61152">
        <w:trPr>
          <w:trHeight w:val="255"/>
          <w:jc w:val="center"/>
        </w:trPr>
        <w:tc>
          <w:tcPr>
            <w:tcW w:w="430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AA09BC" w:rsidRPr="00AA09BC" w:rsidRDefault="00AA09BC" w:rsidP="00AA09BC">
            <w:pPr>
              <w:spacing w:before="0"/>
              <w:jc w:val="left"/>
              <w:rPr>
                <w:rFonts w:cs="Arial"/>
                <w:b/>
                <w:bCs/>
                <w:color w:val="FFFFFF"/>
                <w:sz w:val="16"/>
                <w:szCs w:val="16"/>
              </w:rPr>
            </w:pP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 xml:space="preserve">2016. </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 xml:space="preserve">2017. </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Indeks</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2016</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 xml:space="preserve">2017. </w:t>
            </w:r>
          </w:p>
        </w:tc>
        <w:tc>
          <w:tcPr>
            <w:tcW w:w="7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244061"/>
            <w:vAlign w:val="center"/>
            <w:hideMark/>
          </w:tcPr>
          <w:p w:rsidR="00AA09BC" w:rsidRPr="00AA09BC" w:rsidRDefault="00AA09BC" w:rsidP="00AA09BC">
            <w:pPr>
              <w:spacing w:before="0"/>
              <w:jc w:val="center"/>
              <w:rPr>
                <w:rFonts w:cs="Arial"/>
                <w:b/>
                <w:bCs/>
                <w:color w:val="FFFFFF"/>
                <w:sz w:val="16"/>
                <w:szCs w:val="16"/>
              </w:rPr>
            </w:pPr>
            <w:r w:rsidRPr="00AA09BC">
              <w:rPr>
                <w:rFonts w:cs="Arial"/>
                <w:b/>
                <w:bCs/>
                <w:color w:val="FFFFFF"/>
                <w:sz w:val="16"/>
                <w:szCs w:val="16"/>
              </w:rPr>
              <w:t>Indeks</w:t>
            </w:r>
          </w:p>
        </w:tc>
      </w:tr>
      <w:tr w:rsidR="0061713D" w:rsidRPr="0061713D" w:rsidTr="00DB7945">
        <w:trPr>
          <w:trHeight w:val="283"/>
          <w:jc w:val="center"/>
        </w:trPr>
        <w:tc>
          <w:tcPr>
            <w:tcW w:w="4309" w:type="dxa"/>
            <w:tcBorders>
              <w:top w:val="single" w:sz="4" w:space="0" w:color="FFFFFF" w:themeColor="background1"/>
              <w:left w:val="single" w:sz="4" w:space="0" w:color="BFBFBF" w:themeColor="background1" w:themeShade="BF"/>
              <w:bottom w:val="single" w:sz="4" w:space="0" w:color="FFFFFF" w:themeColor="background1"/>
              <w:right w:val="single" w:sz="4" w:space="0" w:color="FFFFFF" w:themeColor="background1"/>
            </w:tcBorders>
            <w:shd w:val="clear" w:color="000000" w:fill="F2F2F2"/>
            <w:noWrap/>
            <w:vAlign w:val="center"/>
            <w:hideMark/>
          </w:tcPr>
          <w:p w:rsidR="00AA09BC" w:rsidRPr="00D745E9" w:rsidRDefault="00AA09BC" w:rsidP="0061713D">
            <w:pPr>
              <w:spacing w:before="0"/>
              <w:ind w:left="-57"/>
              <w:jc w:val="left"/>
              <w:rPr>
                <w:rFonts w:cs="Arial"/>
                <w:b/>
                <w:color w:val="17365D" w:themeColor="text2" w:themeShade="BF"/>
                <w:sz w:val="16"/>
                <w:szCs w:val="16"/>
              </w:rPr>
            </w:pPr>
            <w:r w:rsidRPr="00D745E9">
              <w:rPr>
                <w:rFonts w:cs="Arial"/>
                <w:b/>
                <w:color w:val="17365D" w:themeColor="text2" w:themeShade="BF"/>
                <w:sz w:val="16"/>
                <w:szCs w:val="16"/>
              </w:rPr>
              <w:t>Broj poduzetnika</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color w:val="17365D" w:themeColor="text2" w:themeShade="BF"/>
                <w:sz w:val="16"/>
                <w:szCs w:val="16"/>
              </w:rPr>
              <w:t>9.103</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10.075</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color w:val="17365D" w:themeColor="text2" w:themeShade="BF"/>
                <w:sz w:val="16"/>
                <w:szCs w:val="16"/>
              </w:rPr>
              <w:t>110,7</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11.983</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13.211</w:t>
            </w:r>
          </w:p>
        </w:tc>
        <w:tc>
          <w:tcPr>
            <w:tcW w:w="738"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110,2</w:t>
            </w:r>
          </w:p>
        </w:tc>
      </w:tr>
      <w:tr w:rsidR="0061713D" w:rsidRPr="0061713D" w:rsidTr="00DB7945">
        <w:trPr>
          <w:trHeight w:val="283"/>
          <w:jc w:val="center"/>
        </w:trPr>
        <w:tc>
          <w:tcPr>
            <w:tcW w:w="4309" w:type="dxa"/>
            <w:tcBorders>
              <w:top w:val="single" w:sz="4" w:space="0" w:color="FFFFFF" w:themeColor="background1"/>
              <w:left w:val="single" w:sz="4" w:space="0" w:color="BFBFBF" w:themeColor="background1" w:themeShade="BF"/>
              <w:bottom w:val="single" w:sz="4" w:space="0" w:color="FFFFFF" w:themeColor="background1"/>
              <w:right w:val="single" w:sz="4" w:space="0" w:color="FFFFFF" w:themeColor="background1"/>
            </w:tcBorders>
            <w:shd w:val="clear" w:color="000000" w:fill="F2F2F2"/>
            <w:noWrap/>
            <w:vAlign w:val="center"/>
            <w:hideMark/>
          </w:tcPr>
          <w:p w:rsidR="00AA09BC" w:rsidRPr="00D745E9" w:rsidRDefault="00AA09BC" w:rsidP="0061713D">
            <w:pPr>
              <w:spacing w:before="0"/>
              <w:ind w:left="-57"/>
              <w:jc w:val="left"/>
              <w:rPr>
                <w:rFonts w:cs="Arial"/>
                <w:b/>
                <w:color w:val="17365D" w:themeColor="text2" w:themeShade="BF"/>
                <w:sz w:val="16"/>
                <w:szCs w:val="16"/>
              </w:rPr>
            </w:pPr>
            <w:r w:rsidRPr="00D745E9">
              <w:rPr>
                <w:rFonts w:cs="Arial"/>
                <w:b/>
                <w:color w:val="17365D" w:themeColor="text2" w:themeShade="BF"/>
                <w:sz w:val="16"/>
                <w:szCs w:val="16"/>
              </w:rPr>
              <w:t>Broj zaposlenih</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58.168</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61.190</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color w:val="17365D" w:themeColor="text2" w:themeShade="BF"/>
                <w:sz w:val="16"/>
                <w:szCs w:val="16"/>
              </w:rPr>
              <w:t>105,2</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73.028</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76.885</w:t>
            </w:r>
          </w:p>
        </w:tc>
        <w:tc>
          <w:tcPr>
            <w:tcW w:w="738"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105,3</w:t>
            </w:r>
          </w:p>
        </w:tc>
      </w:tr>
      <w:tr w:rsidR="0061713D" w:rsidRPr="0061713D" w:rsidTr="00DB7945">
        <w:trPr>
          <w:trHeight w:val="283"/>
          <w:jc w:val="center"/>
        </w:trPr>
        <w:tc>
          <w:tcPr>
            <w:tcW w:w="4309" w:type="dxa"/>
            <w:tcBorders>
              <w:top w:val="single" w:sz="4" w:space="0" w:color="FFFFFF" w:themeColor="background1"/>
              <w:left w:val="single" w:sz="4" w:space="0" w:color="BFBFBF" w:themeColor="background1" w:themeShade="BF"/>
              <w:bottom w:val="single" w:sz="4" w:space="0" w:color="FFFFFF" w:themeColor="background1"/>
              <w:right w:val="single" w:sz="4" w:space="0" w:color="FFFFFF" w:themeColor="background1"/>
            </w:tcBorders>
            <w:shd w:val="clear" w:color="000000" w:fill="F2F2F2"/>
            <w:noWrap/>
            <w:vAlign w:val="center"/>
            <w:hideMark/>
          </w:tcPr>
          <w:p w:rsidR="00AA09BC" w:rsidRPr="00D745E9" w:rsidRDefault="00AA09BC" w:rsidP="0061713D">
            <w:pPr>
              <w:spacing w:before="0"/>
              <w:ind w:left="-57"/>
              <w:jc w:val="left"/>
              <w:rPr>
                <w:rFonts w:cs="Arial"/>
                <w:b/>
                <w:color w:val="17365D" w:themeColor="text2" w:themeShade="BF"/>
                <w:sz w:val="16"/>
                <w:szCs w:val="16"/>
              </w:rPr>
            </w:pPr>
            <w:r w:rsidRPr="00D745E9">
              <w:rPr>
                <w:rFonts w:cs="Arial"/>
                <w:b/>
                <w:color w:val="17365D" w:themeColor="text2" w:themeShade="BF"/>
                <w:sz w:val="16"/>
                <w:szCs w:val="16"/>
              </w:rPr>
              <w:t>Ukupni prihodi</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34.925.784</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38.161.163</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color w:val="17365D" w:themeColor="text2" w:themeShade="BF"/>
                <w:sz w:val="16"/>
                <w:szCs w:val="16"/>
              </w:rPr>
              <w:t>109,3</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42.173.793</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45.990.133</w:t>
            </w:r>
          </w:p>
        </w:tc>
        <w:tc>
          <w:tcPr>
            <w:tcW w:w="738" w:type="dxa"/>
            <w:tcBorders>
              <w:top w:val="single" w:sz="4" w:space="0" w:color="FFFFFF" w:themeColor="background1"/>
              <w:left w:val="single" w:sz="4" w:space="0" w:color="FFFFFF" w:themeColor="background1"/>
              <w:bottom w:val="single" w:sz="4" w:space="0" w:color="FFFFFF" w:themeColor="background1"/>
              <w:right w:val="single" w:sz="4" w:space="0" w:color="BFBFBF" w:themeColor="background1" w:themeShade="BF"/>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109,0</w:t>
            </w:r>
          </w:p>
        </w:tc>
      </w:tr>
      <w:tr w:rsidR="0061713D" w:rsidRPr="0061713D" w:rsidTr="00DB7945">
        <w:trPr>
          <w:trHeight w:val="283"/>
          <w:jc w:val="center"/>
        </w:trPr>
        <w:tc>
          <w:tcPr>
            <w:tcW w:w="4309"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FFFFFF" w:themeColor="background1"/>
            </w:tcBorders>
            <w:shd w:val="clear" w:color="000000" w:fill="F2F2F2"/>
            <w:noWrap/>
            <w:vAlign w:val="center"/>
            <w:hideMark/>
          </w:tcPr>
          <w:p w:rsidR="00AA09BC" w:rsidRPr="00D745E9" w:rsidRDefault="00AA09BC" w:rsidP="0061713D">
            <w:pPr>
              <w:spacing w:before="0"/>
              <w:ind w:left="-57"/>
              <w:jc w:val="left"/>
              <w:rPr>
                <w:rFonts w:cs="Arial"/>
                <w:b/>
                <w:color w:val="17365D" w:themeColor="text2" w:themeShade="BF"/>
                <w:sz w:val="16"/>
                <w:szCs w:val="16"/>
              </w:rPr>
            </w:pPr>
            <w:r w:rsidRPr="00D745E9">
              <w:rPr>
                <w:rFonts w:cs="Arial"/>
                <w:b/>
                <w:color w:val="17365D" w:themeColor="text2" w:themeShade="BF"/>
                <w:sz w:val="16"/>
                <w:szCs w:val="16"/>
              </w:rPr>
              <w:t>Ukupni rashodi</w:t>
            </w:r>
          </w:p>
        </w:tc>
        <w:tc>
          <w:tcPr>
            <w:tcW w:w="1020"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33.632.473</w:t>
            </w:r>
          </w:p>
        </w:tc>
        <w:tc>
          <w:tcPr>
            <w:tcW w:w="1020"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bCs/>
                <w:color w:val="17365D" w:themeColor="text2" w:themeShade="BF"/>
                <w:sz w:val="16"/>
                <w:szCs w:val="16"/>
              </w:rPr>
              <w:t>36.248.660</w:t>
            </w:r>
          </w:p>
        </w:tc>
        <w:tc>
          <w:tcPr>
            <w:tcW w:w="737"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000000" w:fill="DBE5F1"/>
            <w:noWrap/>
            <w:vAlign w:val="center"/>
            <w:hideMark/>
          </w:tcPr>
          <w:p w:rsidR="00AA09BC" w:rsidRPr="0061713D" w:rsidRDefault="00AA09BC" w:rsidP="00AA09BC">
            <w:pPr>
              <w:spacing w:before="0"/>
              <w:jc w:val="right"/>
              <w:rPr>
                <w:rFonts w:cs="Arial"/>
                <w:color w:val="17365D" w:themeColor="text2" w:themeShade="BF"/>
                <w:sz w:val="16"/>
                <w:szCs w:val="16"/>
              </w:rPr>
            </w:pPr>
            <w:r w:rsidRPr="0061713D">
              <w:rPr>
                <w:rFonts w:cs="Arial"/>
                <w:color w:val="17365D" w:themeColor="text2" w:themeShade="BF"/>
                <w:sz w:val="16"/>
                <w:szCs w:val="16"/>
              </w:rPr>
              <w:t>107,8</w:t>
            </w:r>
          </w:p>
        </w:tc>
        <w:tc>
          <w:tcPr>
            <w:tcW w:w="1020"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40.386.536</w:t>
            </w:r>
          </w:p>
        </w:tc>
        <w:tc>
          <w:tcPr>
            <w:tcW w:w="1020"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43.808.051</w:t>
            </w:r>
          </w:p>
        </w:tc>
        <w:tc>
          <w:tcPr>
            <w:tcW w:w="738" w:type="dxa"/>
            <w:tcBorders>
              <w:top w:val="single" w:sz="4" w:space="0" w:color="FFFFFF" w:themeColor="background1"/>
              <w:left w:val="single" w:sz="4" w:space="0" w:color="FFFFFF" w:themeColor="background1"/>
              <w:bottom w:val="single" w:sz="4" w:space="0" w:color="BFBFBF" w:themeColor="background1" w:themeShade="BF"/>
              <w:right w:val="single" w:sz="4" w:space="0" w:color="BFBFBF" w:themeColor="background1" w:themeShade="BF"/>
            </w:tcBorders>
            <w:shd w:val="clear" w:color="000000" w:fill="F2F2F2"/>
            <w:noWrap/>
            <w:vAlign w:val="center"/>
            <w:hideMark/>
          </w:tcPr>
          <w:p w:rsidR="00AA09BC" w:rsidRPr="0061713D" w:rsidRDefault="00AA09BC" w:rsidP="00AA09BC">
            <w:pPr>
              <w:spacing w:before="0"/>
              <w:jc w:val="right"/>
              <w:rPr>
                <w:rFonts w:cs="Arial"/>
                <w:bCs/>
                <w:color w:val="17365D" w:themeColor="text2" w:themeShade="BF"/>
                <w:sz w:val="16"/>
                <w:szCs w:val="16"/>
              </w:rPr>
            </w:pPr>
            <w:r w:rsidRPr="0061713D">
              <w:rPr>
                <w:rFonts w:cs="Arial"/>
                <w:bCs/>
                <w:color w:val="17365D" w:themeColor="text2" w:themeShade="BF"/>
                <w:sz w:val="16"/>
                <w:szCs w:val="16"/>
              </w:rPr>
              <w:t>108,5</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Dobit prije oporezivanja</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2.544.716</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2.908.468</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114,3</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3.166.527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3.475.433</w:t>
            </w:r>
          </w:p>
        </w:tc>
        <w:tc>
          <w:tcPr>
            <w:tcW w:w="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109,8</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Gubitak prije oporezivanja</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1.251.404</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995.965</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79,6</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1.379.271</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1.293.351</w:t>
            </w:r>
          </w:p>
        </w:tc>
        <w:tc>
          <w:tcPr>
            <w:tcW w:w="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93,8</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Dobit razdoblja</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2.165.390</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2.484.149</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114,7</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2.703.874</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2.967.045</w:t>
            </w:r>
          </w:p>
        </w:tc>
        <w:tc>
          <w:tcPr>
            <w:tcW w:w="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109,7</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Gubitak razdoblja</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1.252.587</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995.888</w:t>
            </w:r>
          </w:p>
        </w:tc>
        <w:tc>
          <w:tcPr>
            <w:tcW w:w="737"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79,5</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1.380.836</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1.286.117</w:t>
            </w: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93,1</w:t>
            </w:r>
          </w:p>
        </w:tc>
      </w:tr>
      <w:tr w:rsidR="0061713D" w:rsidRPr="0061713D" w:rsidTr="0061713D">
        <w:trPr>
          <w:trHeight w:val="283"/>
          <w:jc w:val="center"/>
        </w:trPr>
        <w:tc>
          <w:tcPr>
            <w:tcW w:w="43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61713D">
            <w:pPr>
              <w:spacing w:before="0"/>
              <w:ind w:left="-57" w:hanging="6"/>
              <w:jc w:val="left"/>
              <w:rPr>
                <w:rFonts w:cs="Arial"/>
                <w:b/>
                <w:bCs/>
                <w:color w:val="17365D" w:themeColor="text2" w:themeShade="BF"/>
                <w:sz w:val="16"/>
                <w:szCs w:val="16"/>
              </w:rPr>
            </w:pPr>
            <w:r w:rsidRPr="00D745E9">
              <w:rPr>
                <w:rFonts w:cs="Arial"/>
                <w:b/>
                <w:bCs/>
                <w:color w:val="17365D" w:themeColor="text2" w:themeShade="BF"/>
                <w:sz w:val="16"/>
                <w:szCs w:val="16"/>
              </w:rPr>
              <w:t>Kons</w:t>
            </w:r>
            <w:r w:rsidR="0061713D">
              <w:rPr>
                <w:rFonts w:cs="Arial"/>
                <w:b/>
                <w:bCs/>
                <w:color w:val="17365D" w:themeColor="text2" w:themeShade="BF"/>
                <w:sz w:val="16"/>
                <w:szCs w:val="16"/>
              </w:rPr>
              <w:t>.</w:t>
            </w:r>
            <w:r w:rsidRPr="00D745E9">
              <w:rPr>
                <w:rFonts w:cs="Arial"/>
                <w:b/>
                <w:bCs/>
                <w:color w:val="17365D" w:themeColor="text2" w:themeShade="BF"/>
                <w:sz w:val="16"/>
                <w:szCs w:val="16"/>
              </w:rPr>
              <w:t xml:space="preserve"> financijski rezultat – dobit (+) ili gubitak (-) razd</w:t>
            </w:r>
            <w:r w:rsidR="0061713D">
              <w:rPr>
                <w:rFonts w:cs="Arial"/>
                <w:b/>
                <w:bCs/>
                <w:color w:val="17365D" w:themeColor="text2" w:themeShade="BF"/>
                <w:sz w:val="16"/>
                <w:szCs w:val="16"/>
              </w:rPr>
              <w:t>.</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912.803</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1.488.260</w:t>
            </w:r>
          </w:p>
        </w:tc>
        <w:tc>
          <w:tcPr>
            <w:tcW w:w="737"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163,0</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1.323.038</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1.680.928</w:t>
            </w:r>
          </w:p>
        </w:tc>
        <w:tc>
          <w:tcPr>
            <w:tcW w:w="738"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365F91" w:themeColor="accent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127,1</w:t>
            </w:r>
          </w:p>
        </w:tc>
      </w:tr>
      <w:tr w:rsidR="00AA09BC" w:rsidRPr="0061713D" w:rsidTr="0061713D">
        <w:trPr>
          <w:trHeight w:val="283"/>
          <w:jc w:val="center"/>
        </w:trPr>
        <w:tc>
          <w:tcPr>
            <w:tcW w:w="4309"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Izvoz</w:t>
            </w:r>
          </w:p>
        </w:tc>
        <w:tc>
          <w:tcPr>
            <w:tcW w:w="1020"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5.157.199</w:t>
            </w:r>
          </w:p>
        </w:tc>
        <w:tc>
          <w:tcPr>
            <w:tcW w:w="1020"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5.773.112</w:t>
            </w:r>
          </w:p>
        </w:tc>
        <w:tc>
          <w:tcPr>
            <w:tcW w:w="737"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111,9</w:t>
            </w:r>
          </w:p>
        </w:tc>
        <w:tc>
          <w:tcPr>
            <w:tcW w:w="1020"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6.252.270</w:t>
            </w:r>
          </w:p>
        </w:tc>
        <w:tc>
          <w:tcPr>
            <w:tcW w:w="1020"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6.995.464</w:t>
            </w:r>
          </w:p>
        </w:tc>
        <w:tc>
          <w:tcPr>
            <w:tcW w:w="738" w:type="dxa"/>
            <w:tcBorders>
              <w:top w:val="single" w:sz="4" w:space="0" w:color="365F91" w:themeColor="accent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111,9</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Uvoz</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2.595.495</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3.338.767</w:t>
            </w:r>
          </w:p>
        </w:tc>
        <w:tc>
          <w:tcPr>
            <w:tcW w:w="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128,6</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2.897.708</w:t>
            </w:r>
          </w:p>
        </w:tc>
        <w:tc>
          <w:tcPr>
            <w:tcW w:w="1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3.743.188</w:t>
            </w:r>
          </w:p>
        </w:tc>
        <w:tc>
          <w:tcPr>
            <w:tcW w:w="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129,2</w:t>
            </w:r>
          </w:p>
        </w:tc>
      </w:tr>
      <w:tr w:rsidR="00AA09BC" w:rsidRPr="0061713D" w:rsidTr="0061713D">
        <w:trPr>
          <w:trHeight w:val="283"/>
          <w:jc w:val="center"/>
        </w:trPr>
        <w:tc>
          <w:tcPr>
            <w:tcW w:w="4309"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61713D">
            <w:pPr>
              <w:spacing w:before="0"/>
              <w:ind w:left="-57"/>
              <w:jc w:val="left"/>
              <w:rPr>
                <w:rFonts w:cs="Arial"/>
                <w:color w:val="17365D" w:themeColor="text2" w:themeShade="BF"/>
                <w:sz w:val="16"/>
                <w:szCs w:val="16"/>
              </w:rPr>
            </w:pPr>
            <w:r w:rsidRPr="00D745E9">
              <w:rPr>
                <w:rFonts w:cs="Arial"/>
                <w:color w:val="17365D" w:themeColor="text2" w:themeShade="BF"/>
                <w:sz w:val="16"/>
                <w:szCs w:val="16"/>
              </w:rPr>
              <w:t>Investicije u novu dugotrajnu imovinu</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1.216.172</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1.145.963</w:t>
            </w:r>
          </w:p>
        </w:tc>
        <w:tc>
          <w:tcPr>
            <w:tcW w:w="737"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color w:val="17365D" w:themeColor="text2" w:themeShade="BF"/>
                <w:sz w:val="16"/>
                <w:szCs w:val="16"/>
              </w:rPr>
              <w:t>94,2</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1.653.621</w:t>
            </w:r>
          </w:p>
        </w:tc>
        <w:tc>
          <w:tcPr>
            <w:tcW w:w="1020"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1.350.831</w:t>
            </w: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auto" w:fill="auto"/>
            <w:noWrap/>
            <w:vAlign w:val="center"/>
            <w:hideMark/>
          </w:tcPr>
          <w:p w:rsidR="00AA09BC" w:rsidRPr="00D745E9" w:rsidRDefault="00AA09BC" w:rsidP="00AA09BC">
            <w:pPr>
              <w:spacing w:before="0"/>
              <w:jc w:val="right"/>
              <w:rPr>
                <w:rFonts w:cs="Arial"/>
                <w:color w:val="17365D" w:themeColor="text2" w:themeShade="BF"/>
                <w:sz w:val="16"/>
                <w:szCs w:val="16"/>
              </w:rPr>
            </w:pPr>
            <w:r w:rsidRPr="00D745E9">
              <w:rPr>
                <w:rFonts w:cs="Arial"/>
                <w:bCs/>
                <w:color w:val="17365D" w:themeColor="text2" w:themeShade="BF"/>
                <w:sz w:val="16"/>
                <w:szCs w:val="16"/>
              </w:rPr>
              <w:t>81,7</w:t>
            </w:r>
          </w:p>
        </w:tc>
      </w:tr>
      <w:tr w:rsidR="0061713D" w:rsidRPr="0061713D" w:rsidTr="0061713D">
        <w:trPr>
          <w:trHeight w:val="283"/>
          <w:jc w:val="center"/>
        </w:trPr>
        <w:tc>
          <w:tcPr>
            <w:tcW w:w="43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61713D">
            <w:pPr>
              <w:spacing w:before="0"/>
              <w:ind w:left="-57"/>
              <w:jc w:val="left"/>
              <w:rPr>
                <w:rFonts w:cs="Arial"/>
                <w:b/>
                <w:bCs/>
                <w:color w:val="17365D" w:themeColor="text2" w:themeShade="BF"/>
                <w:sz w:val="16"/>
                <w:szCs w:val="16"/>
              </w:rPr>
            </w:pPr>
            <w:proofErr w:type="spellStart"/>
            <w:r w:rsidRPr="00D745E9">
              <w:rPr>
                <w:rFonts w:cs="Arial"/>
                <w:b/>
                <w:bCs/>
                <w:color w:val="17365D" w:themeColor="text2" w:themeShade="BF"/>
                <w:sz w:val="16"/>
                <w:szCs w:val="16"/>
              </w:rPr>
              <w:t>Prosj</w:t>
            </w:r>
            <w:proofErr w:type="spellEnd"/>
            <w:r w:rsidRPr="00D745E9">
              <w:rPr>
                <w:rFonts w:cs="Arial"/>
                <w:b/>
                <w:bCs/>
                <w:color w:val="17365D" w:themeColor="text2" w:themeShade="BF"/>
                <w:sz w:val="16"/>
                <w:szCs w:val="16"/>
              </w:rPr>
              <w:t>. mjesečna neto plaća po zaposlenom</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4.472</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4.486</w:t>
            </w:r>
          </w:p>
        </w:tc>
        <w:tc>
          <w:tcPr>
            <w:tcW w:w="737"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100,3</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4.517</w:t>
            </w:r>
          </w:p>
        </w:tc>
        <w:tc>
          <w:tcPr>
            <w:tcW w:w="1020"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BFBFBF" w:themeColor="background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4.710</w:t>
            </w:r>
          </w:p>
        </w:tc>
        <w:tc>
          <w:tcPr>
            <w:tcW w:w="738" w:type="dxa"/>
            <w:tcBorders>
              <w:top w:val="single" w:sz="4" w:space="0" w:color="365F91" w:themeColor="accent1" w:themeShade="BF"/>
              <w:left w:val="single" w:sz="4" w:space="0" w:color="BFBFBF" w:themeColor="background1" w:themeShade="BF"/>
              <w:bottom w:val="single" w:sz="4" w:space="0" w:color="365F91" w:themeColor="accent1" w:themeShade="BF"/>
              <w:right w:val="single" w:sz="4" w:space="0" w:color="365F91" w:themeColor="accent1" w:themeShade="BF"/>
            </w:tcBorders>
            <w:shd w:val="clear" w:color="000000" w:fill="F2F2F2"/>
            <w:noWrap/>
            <w:vAlign w:val="center"/>
            <w:hideMark/>
          </w:tcPr>
          <w:p w:rsidR="00AA09BC" w:rsidRPr="00D745E9" w:rsidRDefault="00AA09BC" w:rsidP="00AA09BC">
            <w:pPr>
              <w:spacing w:before="0"/>
              <w:jc w:val="right"/>
              <w:rPr>
                <w:rFonts w:cs="Arial"/>
                <w:b/>
                <w:bCs/>
                <w:color w:val="17365D" w:themeColor="text2" w:themeShade="BF"/>
                <w:sz w:val="16"/>
                <w:szCs w:val="16"/>
              </w:rPr>
            </w:pPr>
            <w:r w:rsidRPr="00D745E9">
              <w:rPr>
                <w:rFonts w:cs="Arial"/>
                <w:b/>
                <w:bCs/>
                <w:color w:val="17365D" w:themeColor="text2" w:themeShade="BF"/>
                <w:sz w:val="16"/>
                <w:szCs w:val="16"/>
              </w:rPr>
              <w:t>104,3</w:t>
            </w:r>
          </w:p>
        </w:tc>
      </w:tr>
    </w:tbl>
    <w:p w:rsidR="00E65163" w:rsidRDefault="00E65163" w:rsidP="00E65163">
      <w:pPr>
        <w:spacing w:before="40"/>
        <w:rPr>
          <w:bCs/>
          <w:i/>
          <w:color w:val="17365D"/>
          <w:sz w:val="16"/>
          <w:szCs w:val="18"/>
        </w:rPr>
      </w:pPr>
      <w:r w:rsidRPr="00A77A2F">
        <w:rPr>
          <w:bCs/>
          <w:i/>
          <w:color w:val="17365D"/>
          <w:sz w:val="16"/>
          <w:szCs w:val="18"/>
        </w:rPr>
        <w:t>Izvor: Fina, Registar godišnjih financijskih izvještaja, obrada GFI-a za 201</w:t>
      </w:r>
      <w:r w:rsidR="002D009C">
        <w:rPr>
          <w:bCs/>
          <w:i/>
          <w:color w:val="17365D"/>
          <w:sz w:val="16"/>
          <w:szCs w:val="18"/>
        </w:rPr>
        <w:t>7</w:t>
      </w:r>
      <w:r w:rsidRPr="00A77A2F">
        <w:rPr>
          <w:bCs/>
          <w:i/>
          <w:color w:val="17365D"/>
          <w:sz w:val="16"/>
          <w:szCs w:val="18"/>
        </w:rPr>
        <w:t>. godinu</w:t>
      </w:r>
    </w:p>
    <w:p w:rsidR="00B21176" w:rsidRDefault="00B21176" w:rsidP="00A24D63">
      <w:pPr>
        <w:widowControl w:val="0"/>
        <w:tabs>
          <w:tab w:val="left" w:pos="567"/>
        </w:tabs>
        <w:spacing w:line="276" w:lineRule="auto"/>
        <w:rPr>
          <w:rFonts w:eastAsia="Calibri" w:cs="Arial"/>
          <w:color w:val="244061"/>
          <w:sz w:val="20"/>
          <w:lang w:eastAsia="en-US"/>
        </w:rPr>
      </w:pPr>
      <w:r w:rsidRPr="00B21176">
        <w:rPr>
          <w:rFonts w:eastAsia="Calibri" w:cs="Arial"/>
          <w:color w:val="244061"/>
          <w:sz w:val="20"/>
          <w:lang w:eastAsia="en-US"/>
        </w:rPr>
        <w:t xml:space="preserve">Za usporedbu, </w:t>
      </w:r>
      <w:r w:rsidRPr="00A24D63">
        <w:rPr>
          <w:rFonts w:eastAsia="Calibri" w:cs="Arial"/>
          <w:color w:val="244061"/>
          <w:sz w:val="20"/>
          <w:lang w:eastAsia="en-US"/>
        </w:rPr>
        <w:t>u tablici 3</w:t>
      </w:r>
      <w:r w:rsidRPr="00B21176">
        <w:rPr>
          <w:rFonts w:eastAsia="Calibri" w:cs="Arial"/>
          <w:color w:val="244061"/>
          <w:sz w:val="20"/>
          <w:lang w:eastAsia="en-US"/>
        </w:rPr>
        <w:t xml:space="preserve">. prezentirani su osnovni rezultati i brojčano stanje poduzetnika i zaposlenih kod poduzetnika u </w:t>
      </w:r>
      <w:r>
        <w:rPr>
          <w:rFonts w:eastAsia="Calibri" w:cs="Arial"/>
          <w:color w:val="244061"/>
          <w:sz w:val="20"/>
          <w:lang w:eastAsia="en-US"/>
        </w:rPr>
        <w:t>Splitsko-dalmatinskoj</w:t>
      </w:r>
      <w:r w:rsidRPr="00B21176">
        <w:rPr>
          <w:rFonts w:eastAsia="Calibri" w:cs="Arial"/>
          <w:color w:val="244061"/>
          <w:sz w:val="20"/>
          <w:lang w:eastAsia="en-US"/>
        </w:rPr>
        <w:t xml:space="preserve"> županiji, Urbanoj aglomeraciji </w:t>
      </w:r>
      <w:r>
        <w:rPr>
          <w:rFonts w:eastAsia="Calibri" w:cs="Arial"/>
          <w:color w:val="244061"/>
          <w:sz w:val="20"/>
          <w:lang w:eastAsia="en-US"/>
        </w:rPr>
        <w:t>Split</w:t>
      </w:r>
      <w:r w:rsidRPr="00B21176">
        <w:rPr>
          <w:rFonts w:eastAsia="Calibri" w:cs="Arial"/>
          <w:color w:val="244061"/>
          <w:sz w:val="20"/>
          <w:lang w:eastAsia="en-US"/>
        </w:rPr>
        <w:t xml:space="preserve"> i </w:t>
      </w:r>
      <w:r>
        <w:rPr>
          <w:rFonts w:eastAsia="Calibri" w:cs="Arial"/>
          <w:color w:val="244061"/>
          <w:sz w:val="20"/>
          <w:lang w:eastAsia="en-US"/>
        </w:rPr>
        <w:t>Splitu</w:t>
      </w:r>
      <w:r w:rsidRPr="00B21176">
        <w:rPr>
          <w:rFonts w:eastAsia="Calibri" w:cs="Arial"/>
          <w:color w:val="244061"/>
          <w:sz w:val="20"/>
          <w:lang w:eastAsia="en-US"/>
        </w:rPr>
        <w:t xml:space="preserve"> u 201</w:t>
      </w:r>
      <w:r w:rsidR="002D009C">
        <w:rPr>
          <w:rFonts w:eastAsia="Calibri" w:cs="Arial"/>
          <w:color w:val="244061"/>
          <w:sz w:val="20"/>
          <w:lang w:eastAsia="en-US"/>
        </w:rPr>
        <w:t>7</w:t>
      </w:r>
      <w:r w:rsidRPr="00B21176">
        <w:rPr>
          <w:rFonts w:eastAsia="Calibri" w:cs="Arial"/>
          <w:color w:val="244061"/>
          <w:sz w:val="20"/>
          <w:lang w:eastAsia="en-US"/>
        </w:rPr>
        <w:t xml:space="preserve">. </w:t>
      </w:r>
      <w:r w:rsidR="00655EE1">
        <w:rPr>
          <w:rFonts w:eastAsia="Calibri" w:cs="Arial"/>
          <w:color w:val="244061"/>
          <w:sz w:val="20"/>
          <w:lang w:eastAsia="en-US"/>
        </w:rPr>
        <w:t>g</w:t>
      </w:r>
      <w:r w:rsidRPr="00B21176">
        <w:rPr>
          <w:rFonts w:eastAsia="Calibri" w:cs="Arial"/>
          <w:color w:val="244061"/>
          <w:sz w:val="20"/>
          <w:lang w:eastAsia="en-US"/>
        </w:rPr>
        <w:t>odini</w:t>
      </w:r>
      <w:r>
        <w:rPr>
          <w:rFonts w:eastAsia="Calibri" w:cs="Arial"/>
          <w:color w:val="244061"/>
          <w:sz w:val="20"/>
          <w:lang w:eastAsia="en-US"/>
        </w:rPr>
        <w:t>.</w:t>
      </w:r>
    </w:p>
    <w:p w:rsidR="00AA09BC" w:rsidRPr="00AA09BC" w:rsidRDefault="00B21176" w:rsidP="00A24D63">
      <w:pPr>
        <w:widowControl w:val="0"/>
        <w:tabs>
          <w:tab w:val="left" w:pos="567"/>
          <w:tab w:val="left" w:pos="7088"/>
        </w:tabs>
        <w:spacing w:after="40"/>
        <w:ind w:left="1134" w:hanging="1134"/>
        <w:jc w:val="left"/>
        <w:rPr>
          <w:rFonts w:eastAsia="Calibri" w:cs="Arial"/>
          <w:color w:val="244061"/>
          <w:sz w:val="18"/>
          <w:szCs w:val="18"/>
          <w:lang w:eastAsia="en-US"/>
        </w:rPr>
      </w:pPr>
      <w:r w:rsidRPr="002516C5">
        <w:rPr>
          <w:rFonts w:eastAsia="Calibri" w:cs="Arial"/>
          <w:b/>
          <w:color w:val="244061"/>
          <w:sz w:val="18"/>
          <w:szCs w:val="18"/>
          <w:lang w:eastAsia="en-US"/>
        </w:rPr>
        <w:t>Tablica 3</w:t>
      </w:r>
      <w:r w:rsidRPr="002516C5">
        <w:rPr>
          <w:rFonts w:eastAsia="Calibri" w:cs="Arial"/>
          <w:color w:val="244061"/>
          <w:sz w:val="18"/>
          <w:szCs w:val="18"/>
          <w:lang w:eastAsia="en-US"/>
        </w:rPr>
        <w:t>.</w:t>
      </w:r>
      <w:r w:rsidRPr="002516C5">
        <w:rPr>
          <w:rFonts w:eastAsia="Calibri" w:cs="Arial"/>
          <w:color w:val="244061"/>
          <w:sz w:val="18"/>
          <w:szCs w:val="18"/>
          <w:lang w:eastAsia="en-US"/>
        </w:rPr>
        <w:tab/>
      </w:r>
      <w:r w:rsidRPr="002516C5">
        <w:rPr>
          <w:rFonts w:eastAsia="Calibri" w:cs="Arial"/>
          <w:b/>
          <w:color w:val="244061"/>
          <w:sz w:val="18"/>
          <w:szCs w:val="18"/>
          <w:lang w:eastAsia="en-US"/>
        </w:rPr>
        <w:t xml:space="preserve">Usporedba osnovnih financijskih </w:t>
      </w:r>
      <w:r w:rsidR="00A24D63">
        <w:rPr>
          <w:rFonts w:eastAsia="Calibri" w:cs="Arial"/>
          <w:b/>
          <w:color w:val="244061"/>
          <w:sz w:val="18"/>
          <w:szCs w:val="18"/>
          <w:lang w:eastAsia="en-US"/>
        </w:rPr>
        <w:t xml:space="preserve">rezultata </w:t>
      </w:r>
      <w:r w:rsidRPr="002516C5">
        <w:rPr>
          <w:rFonts w:eastAsia="Calibri" w:cs="Arial"/>
          <w:b/>
          <w:color w:val="244061"/>
          <w:sz w:val="18"/>
          <w:szCs w:val="18"/>
          <w:lang w:eastAsia="en-US"/>
        </w:rPr>
        <w:t xml:space="preserve">poduzetnika na području </w:t>
      </w:r>
      <w:r w:rsidR="00655EE1" w:rsidRPr="002516C5">
        <w:rPr>
          <w:rFonts w:eastAsia="Calibri" w:cs="Arial"/>
          <w:b/>
          <w:color w:val="244061"/>
          <w:sz w:val="18"/>
          <w:szCs w:val="18"/>
          <w:lang w:eastAsia="en-US"/>
        </w:rPr>
        <w:t>Splitsko-dalmatinsk</w:t>
      </w:r>
      <w:r w:rsidR="00271A0B" w:rsidRPr="002516C5">
        <w:rPr>
          <w:rFonts w:eastAsia="Calibri" w:cs="Arial"/>
          <w:b/>
          <w:color w:val="244061"/>
          <w:sz w:val="18"/>
          <w:szCs w:val="18"/>
          <w:lang w:eastAsia="en-US"/>
        </w:rPr>
        <w:t>e županije</w:t>
      </w:r>
      <w:r w:rsidR="00655EE1" w:rsidRPr="002516C5">
        <w:rPr>
          <w:rFonts w:eastAsia="Calibri" w:cs="Arial"/>
          <w:b/>
          <w:color w:val="244061"/>
          <w:sz w:val="18"/>
          <w:szCs w:val="18"/>
          <w:lang w:eastAsia="en-US"/>
        </w:rPr>
        <w:t>, Urban</w:t>
      </w:r>
      <w:r w:rsidR="00271A0B" w:rsidRPr="002516C5">
        <w:rPr>
          <w:rFonts w:eastAsia="Calibri" w:cs="Arial"/>
          <w:b/>
          <w:color w:val="244061"/>
          <w:sz w:val="18"/>
          <w:szCs w:val="18"/>
          <w:lang w:eastAsia="en-US"/>
        </w:rPr>
        <w:t>e aglomeracije</w:t>
      </w:r>
      <w:r w:rsidR="00655EE1" w:rsidRPr="002516C5">
        <w:rPr>
          <w:rFonts w:eastAsia="Calibri" w:cs="Arial"/>
          <w:b/>
          <w:color w:val="244061"/>
          <w:sz w:val="18"/>
          <w:szCs w:val="18"/>
          <w:lang w:eastAsia="en-US"/>
        </w:rPr>
        <w:t xml:space="preserve"> Split i grad</w:t>
      </w:r>
      <w:r w:rsidR="00271A0B" w:rsidRPr="002516C5">
        <w:rPr>
          <w:rFonts w:eastAsia="Calibri" w:cs="Arial"/>
          <w:b/>
          <w:color w:val="244061"/>
          <w:sz w:val="18"/>
          <w:szCs w:val="18"/>
          <w:lang w:eastAsia="en-US"/>
        </w:rPr>
        <w:t>a</w:t>
      </w:r>
      <w:r w:rsidR="00655EE1" w:rsidRPr="002516C5">
        <w:rPr>
          <w:rFonts w:eastAsia="Calibri" w:cs="Arial"/>
          <w:b/>
          <w:color w:val="244061"/>
          <w:sz w:val="18"/>
          <w:szCs w:val="18"/>
          <w:lang w:eastAsia="en-US"/>
        </w:rPr>
        <w:t xml:space="preserve"> Split</w:t>
      </w:r>
      <w:r w:rsidR="00271A0B" w:rsidRPr="002516C5">
        <w:rPr>
          <w:rFonts w:eastAsia="Calibri" w:cs="Arial"/>
          <w:b/>
          <w:color w:val="244061"/>
          <w:sz w:val="18"/>
          <w:szCs w:val="18"/>
          <w:lang w:eastAsia="en-US"/>
        </w:rPr>
        <w:t>a</w:t>
      </w:r>
      <w:r w:rsidRPr="002516C5">
        <w:rPr>
          <w:rFonts w:eastAsia="Calibri" w:cs="Arial"/>
          <w:b/>
          <w:color w:val="244061"/>
          <w:sz w:val="18"/>
          <w:szCs w:val="18"/>
          <w:lang w:eastAsia="en-US"/>
        </w:rPr>
        <w:t xml:space="preserve"> u 201</w:t>
      </w:r>
      <w:r w:rsidR="002D009C">
        <w:rPr>
          <w:rFonts w:eastAsia="Calibri" w:cs="Arial"/>
          <w:b/>
          <w:color w:val="244061"/>
          <w:sz w:val="18"/>
          <w:szCs w:val="18"/>
          <w:lang w:eastAsia="en-US"/>
        </w:rPr>
        <w:t>7</w:t>
      </w:r>
      <w:r w:rsidRPr="002516C5">
        <w:rPr>
          <w:rFonts w:eastAsia="Calibri" w:cs="Arial"/>
          <w:b/>
          <w:color w:val="244061"/>
          <w:sz w:val="18"/>
          <w:szCs w:val="18"/>
          <w:lang w:eastAsia="en-US"/>
        </w:rPr>
        <w:t>. g.</w:t>
      </w:r>
      <w:r w:rsidR="00A24D63">
        <w:rPr>
          <w:rFonts w:eastAsia="Calibri" w:cs="Arial"/>
          <w:b/>
          <w:color w:val="244061"/>
          <w:sz w:val="18"/>
          <w:szCs w:val="18"/>
          <w:lang w:eastAsia="en-US"/>
        </w:rPr>
        <w:t xml:space="preserve"> </w:t>
      </w:r>
      <w:r w:rsidR="00A24D63">
        <w:rPr>
          <w:rFonts w:eastAsia="Calibri" w:cs="Arial"/>
          <w:b/>
          <w:color w:val="244061"/>
          <w:sz w:val="18"/>
          <w:szCs w:val="18"/>
          <w:lang w:eastAsia="en-US"/>
        </w:rPr>
        <w:tab/>
      </w:r>
      <w:r w:rsidR="00AA09BC" w:rsidRPr="00AA09BC">
        <w:rPr>
          <w:rFonts w:eastAsia="Calibri" w:cs="Arial"/>
          <w:color w:val="244061"/>
          <w:sz w:val="18"/>
          <w:szCs w:val="18"/>
          <w:lang w:eastAsia="en-US"/>
        </w:rPr>
        <w:t>(</w:t>
      </w:r>
      <w:r w:rsidR="00A24D63" w:rsidRPr="00AA09BC">
        <w:rPr>
          <w:rFonts w:eastAsia="Calibri" w:cs="Arial"/>
          <w:i/>
          <w:color w:val="244061"/>
          <w:sz w:val="16"/>
          <w:szCs w:val="16"/>
          <w:lang w:eastAsia="en-US"/>
        </w:rPr>
        <w:t>iznosi u tisućama kn, plaće u kn</w:t>
      </w:r>
      <w:r w:rsidR="00AA09BC" w:rsidRPr="00AA09BC">
        <w:rPr>
          <w:rFonts w:eastAsia="Calibri" w:cs="Arial"/>
          <w:i/>
          <w:color w:val="244061"/>
          <w:sz w:val="16"/>
          <w:szCs w:val="16"/>
          <w:lang w:eastAsia="en-US"/>
        </w:rPr>
        <w:t>)</w:t>
      </w:r>
    </w:p>
    <w:tbl>
      <w:tblPr>
        <w:tblW w:w="981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4A0" w:firstRow="1" w:lastRow="0" w:firstColumn="1" w:lastColumn="0" w:noHBand="0" w:noVBand="1"/>
      </w:tblPr>
      <w:tblGrid>
        <w:gridCol w:w="1083"/>
        <w:gridCol w:w="1049"/>
        <w:gridCol w:w="1049"/>
        <w:gridCol w:w="1304"/>
        <w:gridCol w:w="1134"/>
        <w:gridCol w:w="1134"/>
        <w:gridCol w:w="1020"/>
        <w:gridCol w:w="1020"/>
        <w:gridCol w:w="1020"/>
      </w:tblGrid>
      <w:tr w:rsidR="00655EE1" w:rsidRPr="00655EE1" w:rsidTr="00883FAC">
        <w:trPr>
          <w:trHeight w:val="454"/>
          <w:tblHeader/>
          <w:jc w:val="center"/>
        </w:trPr>
        <w:tc>
          <w:tcPr>
            <w:tcW w:w="1083" w:type="dxa"/>
            <w:shd w:val="clear" w:color="auto" w:fill="244061" w:themeFill="accent1" w:themeFillShade="80"/>
            <w:vAlign w:val="center"/>
            <w:hideMark/>
          </w:tcPr>
          <w:p w:rsidR="00655EE1" w:rsidRPr="00655EE1" w:rsidRDefault="00655EE1" w:rsidP="00A24D63">
            <w:pPr>
              <w:spacing w:before="0"/>
              <w:jc w:val="center"/>
              <w:rPr>
                <w:rFonts w:cs="Arial"/>
                <w:b/>
                <w:bCs/>
                <w:color w:val="FFFFFF"/>
                <w:sz w:val="16"/>
                <w:szCs w:val="16"/>
              </w:rPr>
            </w:pPr>
            <w:bookmarkStart w:id="1" w:name="OLE_LINK1"/>
            <w:r w:rsidRPr="00655EE1">
              <w:rPr>
                <w:rFonts w:cs="Arial"/>
                <w:b/>
                <w:bCs/>
                <w:color w:val="FFFFFF"/>
                <w:sz w:val="16"/>
                <w:szCs w:val="16"/>
              </w:rPr>
              <w:t>Naziv terit</w:t>
            </w:r>
            <w:r w:rsidR="00A24D63">
              <w:rPr>
                <w:rFonts w:cs="Arial"/>
                <w:b/>
                <w:bCs/>
                <w:color w:val="FFFFFF"/>
                <w:sz w:val="16"/>
                <w:szCs w:val="16"/>
              </w:rPr>
              <w:t xml:space="preserve">. </w:t>
            </w:r>
            <w:r w:rsidRPr="00655EE1">
              <w:rPr>
                <w:rFonts w:cs="Arial"/>
                <w:b/>
                <w:bCs/>
                <w:color w:val="FFFFFF"/>
                <w:sz w:val="16"/>
                <w:szCs w:val="16"/>
              </w:rPr>
              <w:t>razine</w:t>
            </w:r>
          </w:p>
        </w:tc>
        <w:tc>
          <w:tcPr>
            <w:tcW w:w="1049" w:type="dxa"/>
            <w:shd w:val="clear" w:color="auto" w:fill="244061" w:themeFill="accent1" w:themeFillShade="80"/>
            <w:vAlign w:val="center"/>
            <w:hideMark/>
          </w:tcPr>
          <w:p w:rsidR="00655EE1" w:rsidRPr="00655EE1" w:rsidRDefault="00655EE1" w:rsidP="00DB7945">
            <w:pPr>
              <w:spacing w:before="0"/>
              <w:jc w:val="center"/>
              <w:rPr>
                <w:rFonts w:cs="Arial"/>
                <w:b/>
                <w:bCs/>
                <w:color w:val="FFFFFF"/>
                <w:sz w:val="16"/>
                <w:szCs w:val="16"/>
              </w:rPr>
            </w:pPr>
            <w:r w:rsidRPr="00655EE1">
              <w:rPr>
                <w:rFonts w:cs="Arial"/>
                <w:b/>
                <w:bCs/>
                <w:color w:val="FFFFFF"/>
                <w:sz w:val="16"/>
                <w:szCs w:val="16"/>
              </w:rPr>
              <w:t>Broj poduzet</w:t>
            </w:r>
            <w:r w:rsidR="00DB7945">
              <w:rPr>
                <w:rFonts w:cs="Arial"/>
                <w:b/>
                <w:bCs/>
                <w:color w:val="FFFFFF"/>
                <w:sz w:val="16"/>
                <w:szCs w:val="16"/>
              </w:rPr>
              <w:t>nika</w:t>
            </w:r>
          </w:p>
        </w:tc>
        <w:tc>
          <w:tcPr>
            <w:tcW w:w="1049" w:type="dxa"/>
            <w:shd w:val="clear" w:color="auto" w:fill="244061" w:themeFill="accent1" w:themeFillShade="80"/>
            <w:vAlign w:val="center"/>
          </w:tcPr>
          <w:p w:rsidR="00655EE1" w:rsidRPr="00655EE1" w:rsidRDefault="00655EE1" w:rsidP="00DB7945">
            <w:pPr>
              <w:spacing w:before="0"/>
              <w:jc w:val="center"/>
              <w:rPr>
                <w:rFonts w:cs="Arial"/>
                <w:b/>
                <w:bCs/>
                <w:color w:val="FFFFFF"/>
                <w:sz w:val="16"/>
                <w:szCs w:val="16"/>
              </w:rPr>
            </w:pPr>
            <w:r w:rsidRPr="00655EE1">
              <w:rPr>
                <w:rFonts w:cs="Arial"/>
                <w:b/>
                <w:bCs/>
                <w:color w:val="FFFFFF"/>
                <w:sz w:val="16"/>
                <w:szCs w:val="16"/>
              </w:rPr>
              <w:t>Broj zaposl</w:t>
            </w:r>
            <w:r w:rsidR="00DB7945">
              <w:rPr>
                <w:rFonts w:cs="Arial"/>
                <w:b/>
                <w:bCs/>
                <w:color w:val="FFFFFF"/>
                <w:sz w:val="16"/>
                <w:szCs w:val="16"/>
              </w:rPr>
              <w:t>enih</w:t>
            </w:r>
          </w:p>
        </w:tc>
        <w:tc>
          <w:tcPr>
            <w:tcW w:w="1304" w:type="dxa"/>
            <w:shd w:val="clear" w:color="auto" w:fill="244061" w:themeFill="accent1" w:themeFillShade="80"/>
            <w:vAlign w:val="center"/>
          </w:tcPr>
          <w:p w:rsidR="00655EE1" w:rsidRPr="00655EE1" w:rsidRDefault="00655EE1" w:rsidP="00DB7945">
            <w:pPr>
              <w:spacing w:before="0"/>
              <w:ind w:left="-57" w:right="-57"/>
              <w:jc w:val="center"/>
              <w:rPr>
                <w:rFonts w:cs="Arial"/>
                <w:b/>
                <w:bCs/>
                <w:color w:val="FFFFFF"/>
                <w:sz w:val="14"/>
                <w:szCs w:val="14"/>
              </w:rPr>
            </w:pPr>
            <w:r w:rsidRPr="00655EE1">
              <w:rPr>
                <w:rFonts w:cs="Arial"/>
                <w:b/>
                <w:bCs/>
                <w:color w:val="FFFFFF"/>
                <w:sz w:val="16"/>
                <w:szCs w:val="16"/>
              </w:rPr>
              <w:t>Prosječna mjes. neto plaća</w:t>
            </w:r>
          </w:p>
        </w:tc>
        <w:tc>
          <w:tcPr>
            <w:tcW w:w="1134" w:type="dxa"/>
            <w:shd w:val="clear" w:color="auto" w:fill="244061" w:themeFill="accent1" w:themeFillShade="80"/>
            <w:vAlign w:val="center"/>
            <w:hideMark/>
          </w:tcPr>
          <w:p w:rsidR="00655EE1" w:rsidRPr="00655EE1" w:rsidRDefault="00655EE1" w:rsidP="00A24D63">
            <w:pPr>
              <w:spacing w:before="0"/>
              <w:jc w:val="center"/>
              <w:rPr>
                <w:rFonts w:cs="Arial"/>
                <w:b/>
                <w:bCs/>
                <w:color w:val="FFFFFF"/>
                <w:sz w:val="14"/>
                <w:szCs w:val="14"/>
              </w:rPr>
            </w:pPr>
            <w:r w:rsidRPr="00655EE1">
              <w:rPr>
                <w:rFonts w:cs="Arial"/>
                <w:b/>
                <w:bCs/>
                <w:color w:val="FFFFFF"/>
                <w:sz w:val="16"/>
                <w:szCs w:val="16"/>
              </w:rPr>
              <w:t>Ukupni prihodi</w:t>
            </w:r>
          </w:p>
        </w:tc>
        <w:tc>
          <w:tcPr>
            <w:tcW w:w="1134" w:type="dxa"/>
            <w:shd w:val="clear" w:color="auto" w:fill="244061" w:themeFill="accent1" w:themeFillShade="80"/>
            <w:vAlign w:val="center"/>
          </w:tcPr>
          <w:p w:rsidR="00655EE1" w:rsidRPr="00655EE1" w:rsidRDefault="00655EE1" w:rsidP="00A24D63">
            <w:pPr>
              <w:spacing w:before="0"/>
              <w:jc w:val="center"/>
              <w:rPr>
                <w:rFonts w:cs="Arial"/>
                <w:b/>
                <w:bCs/>
                <w:color w:val="FFFFFF"/>
                <w:sz w:val="14"/>
                <w:szCs w:val="14"/>
              </w:rPr>
            </w:pPr>
            <w:r w:rsidRPr="00655EE1">
              <w:rPr>
                <w:rFonts w:cs="Arial"/>
                <w:b/>
                <w:bCs/>
                <w:color w:val="FFFFFF"/>
                <w:sz w:val="16"/>
                <w:szCs w:val="16"/>
              </w:rPr>
              <w:t>Ukupni rashodi</w:t>
            </w:r>
          </w:p>
        </w:tc>
        <w:tc>
          <w:tcPr>
            <w:tcW w:w="1020" w:type="dxa"/>
            <w:shd w:val="clear" w:color="auto" w:fill="244061" w:themeFill="accent1" w:themeFillShade="80"/>
            <w:vAlign w:val="center"/>
            <w:hideMark/>
          </w:tcPr>
          <w:p w:rsidR="00655EE1" w:rsidRPr="00655EE1" w:rsidRDefault="00655EE1" w:rsidP="00A24D63">
            <w:pPr>
              <w:spacing w:before="0"/>
              <w:jc w:val="center"/>
              <w:rPr>
                <w:rFonts w:cs="Arial"/>
                <w:b/>
                <w:bCs/>
                <w:color w:val="FFFFFF"/>
                <w:sz w:val="14"/>
                <w:szCs w:val="14"/>
              </w:rPr>
            </w:pPr>
            <w:r w:rsidRPr="00655EE1">
              <w:rPr>
                <w:rFonts w:cs="Arial"/>
                <w:b/>
                <w:bCs/>
                <w:color w:val="FFFFFF"/>
                <w:sz w:val="16"/>
                <w:szCs w:val="16"/>
              </w:rPr>
              <w:t>Dobit razdoblja</w:t>
            </w:r>
          </w:p>
        </w:tc>
        <w:tc>
          <w:tcPr>
            <w:tcW w:w="1020" w:type="dxa"/>
            <w:shd w:val="clear" w:color="auto" w:fill="244061" w:themeFill="accent1" w:themeFillShade="80"/>
            <w:vAlign w:val="center"/>
            <w:hideMark/>
          </w:tcPr>
          <w:p w:rsidR="00655EE1" w:rsidRPr="00655EE1" w:rsidRDefault="00655EE1" w:rsidP="00A24D63">
            <w:pPr>
              <w:spacing w:before="0"/>
              <w:jc w:val="center"/>
              <w:rPr>
                <w:rFonts w:cs="Arial"/>
                <w:b/>
                <w:bCs/>
                <w:color w:val="FFFFFF"/>
                <w:sz w:val="14"/>
                <w:szCs w:val="14"/>
              </w:rPr>
            </w:pPr>
            <w:r w:rsidRPr="00655EE1">
              <w:rPr>
                <w:rFonts w:cs="Arial"/>
                <w:b/>
                <w:bCs/>
                <w:color w:val="FFFFFF"/>
                <w:sz w:val="16"/>
                <w:szCs w:val="16"/>
              </w:rPr>
              <w:t>Gubitak razdoblja</w:t>
            </w:r>
          </w:p>
        </w:tc>
        <w:tc>
          <w:tcPr>
            <w:tcW w:w="1020" w:type="dxa"/>
            <w:shd w:val="clear" w:color="auto" w:fill="244061" w:themeFill="accent1" w:themeFillShade="80"/>
            <w:vAlign w:val="center"/>
            <w:hideMark/>
          </w:tcPr>
          <w:p w:rsidR="00655EE1" w:rsidRPr="00655EE1" w:rsidRDefault="00655EE1" w:rsidP="00A24D63">
            <w:pPr>
              <w:spacing w:before="0"/>
              <w:jc w:val="center"/>
              <w:rPr>
                <w:rFonts w:cs="Arial"/>
                <w:b/>
                <w:bCs/>
                <w:color w:val="FFFFFF"/>
                <w:sz w:val="14"/>
                <w:szCs w:val="14"/>
              </w:rPr>
            </w:pPr>
            <w:r w:rsidRPr="00655EE1">
              <w:rPr>
                <w:rFonts w:cs="Arial"/>
                <w:b/>
                <w:bCs/>
                <w:color w:val="FFFFFF"/>
                <w:sz w:val="16"/>
                <w:szCs w:val="16"/>
              </w:rPr>
              <w:t>Neto dobit</w:t>
            </w:r>
          </w:p>
        </w:tc>
      </w:tr>
      <w:tr w:rsidR="00525C10" w:rsidRPr="00655EE1" w:rsidTr="00DB7945">
        <w:trPr>
          <w:trHeight w:val="283"/>
          <w:jc w:val="center"/>
        </w:trPr>
        <w:tc>
          <w:tcPr>
            <w:tcW w:w="1083" w:type="dxa"/>
            <w:shd w:val="clear" w:color="000000" w:fill="D9D9D9" w:themeFill="background1" w:themeFillShade="D9"/>
            <w:noWrap/>
            <w:vAlign w:val="center"/>
          </w:tcPr>
          <w:p w:rsidR="00525C10" w:rsidRPr="00655EE1" w:rsidRDefault="00525C10" w:rsidP="00DB7945">
            <w:pPr>
              <w:spacing w:before="0"/>
              <w:jc w:val="left"/>
              <w:rPr>
                <w:rFonts w:cs="Arial"/>
                <w:b/>
                <w:bCs/>
                <w:sz w:val="18"/>
                <w:szCs w:val="18"/>
              </w:rPr>
            </w:pPr>
            <w:r>
              <w:rPr>
                <w:rFonts w:cs="Arial"/>
                <w:b/>
                <w:bCs/>
                <w:sz w:val="18"/>
                <w:szCs w:val="18"/>
              </w:rPr>
              <w:t>SDŽ</w:t>
            </w:r>
          </w:p>
        </w:tc>
        <w:tc>
          <w:tcPr>
            <w:tcW w:w="1049" w:type="dxa"/>
            <w:shd w:val="clear" w:color="000000" w:fill="D9D9D9" w:themeFill="background1" w:themeFillShade="D9"/>
            <w:noWrap/>
            <w:vAlign w:val="center"/>
          </w:tcPr>
          <w:p w:rsidR="00525C10" w:rsidRDefault="00525C10" w:rsidP="00DB7945">
            <w:pPr>
              <w:spacing w:before="0"/>
              <w:jc w:val="right"/>
              <w:rPr>
                <w:rFonts w:cs="Arial"/>
                <w:color w:val="16365C"/>
                <w:sz w:val="18"/>
                <w:szCs w:val="18"/>
              </w:rPr>
            </w:pPr>
            <w:r>
              <w:rPr>
                <w:rFonts w:cs="Arial"/>
                <w:color w:val="16365C"/>
                <w:sz w:val="18"/>
                <w:szCs w:val="18"/>
              </w:rPr>
              <w:t>13.211</w:t>
            </w:r>
          </w:p>
        </w:tc>
        <w:tc>
          <w:tcPr>
            <w:tcW w:w="1049" w:type="dxa"/>
            <w:shd w:val="clear" w:color="000000" w:fill="D9D9D9" w:themeFill="background1" w:themeFillShade="D9"/>
            <w:vAlign w:val="center"/>
          </w:tcPr>
          <w:p w:rsidR="00525C10" w:rsidRDefault="00525C10" w:rsidP="00DB7945">
            <w:pPr>
              <w:spacing w:before="0"/>
              <w:jc w:val="right"/>
              <w:rPr>
                <w:rFonts w:cs="Arial"/>
                <w:color w:val="16365C"/>
                <w:sz w:val="18"/>
                <w:szCs w:val="18"/>
              </w:rPr>
            </w:pPr>
            <w:r>
              <w:rPr>
                <w:rFonts w:cs="Arial"/>
                <w:color w:val="16365C"/>
                <w:sz w:val="18"/>
                <w:szCs w:val="18"/>
              </w:rPr>
              <w:t>76.885</w:t>
            </w:r>
          </w:p>
        </w:tc>
        <w:tc>
          <w:tcPr>
            <w:tcW w:w="1304" w:type="dxa"/>
            <w:shd w:val="clear" w:color="000000" w:fill="D9D9D9" w:themeFill="background1" w:themeFillShade="D9"/>
            <w:vAlign w:val="center"/>
          </w:tcPr>
          <w:p w:rsidR="00525C10" w:rsidRDefault="00525C10" w:rsidP="00DB7945">
            <w:pPr>
              <w:spacing w:before="0"/>
              <w:jc w:val="right"/>
              <w:rPr>
                <w:rFonts w:cs="Arial"/>
                <w:color w:val="16365C"/>
                <w:sz w:val="18"/>
                <w:szCs w:val="18"/>
              </w:rPr>
            </w:pPr>
            <w:r>
              <w:rPr>
                <w:rFonts w:cs="Arial"/>
                <w:color w:val="16365C"/>
                <w:sz w:val="18"/>
                <w:szCs w:val="18"/>
              </w:rPr>
              <w:t>4.710</w:t>
            </w:r>
          </w:p>
        </w:tc>
        <w:tc>
          <w:tcPr>
            <w:tcW w:w="1134" w:type="dxa"/>
            <w:shd w:val="clear" w:color="000000" w:fill="D9D9D9" w:themeFill="background1" w:themeFillShade="D9"/>
            <w:noWrap/>
            <w:vAlign w:val="center"/>
          </w:tcPr>
          <w:p w:rsidR="00525C10" w:rsidRDefault="00525C10" w:rsidP="00DB7945">
            <w:pPr>
              <w:spacing w:before="0"/>
              <w:jc w:val="right"/>
              <w:rPr>
                <w:rFonts w:cs="Arial"/>
                <w:color w:val="16365C"/>
                <w:sz w:val="18"/>
                <w:szCs w:val="18"/>
              </w:rPr>
            </w:pPr>
            <w:r>
              <w:rPr>
                <w:rFonts w:cs="Arial"/>
                <w:color w:val="16365C"/>
                <w:sz w:val="18"/>
                <w:szCs w:val="18"/>
              </w:rPr>
              <w:t>45.990.133</w:t>
            </w:r>
          </w:p>
        </w:tc>
        <w:tc>
          <w:tcPr>
            <w:tcW w:w="1134" w:type="dxa"/>
            <w:shd w:val="clear" w:color="000000" w:fill="D9D9D9" w:themeFill="background1" w:themeFillShade="D9"/>
            <w:vAlign w:val="center"/>
          </w:tcPr>
          <w:p w:rsidR="00525C10" w:rsidRDefault="00525C10" w:rsidP="00DB7945">
            <w:pPr>
              <w:spacing w:before="0"/>
              <w:jc w:val="right"/>
              <w:rPr>
                <w:rFonts w:cs="Arial"/>
                <w:color w:val="16365C"/>
                <w:sz w:val="18"/>
                <w:szCs w:val="18"/>
              </w:rPr>
            </w:pPr>
            <w:r>
              <w:rPr>
                <w:rFonts w:cs="Arial"/>
                <w:color w:val="16365C"/>
                <w:sz w:val="18"/>
                <w:szCs w:val="18"/>
              </w:rPr>
              <w:t>43.808.051</w:t>
            </w:r>
          </w:p>
        </w:tc>
        <w:tc>
          <w:tcPr>
            <w:tcW w:w="1020" w:type="dxa"/>
            <w:shd w:val="clear" w:color="000000" w:fill="D9D9D9" w:themeFill="background1" w:themeFillShade="D9"/>
            <w:noWrap/>
            <w:vAlign w:val="center"/>
          </w:tcPr>
          <w:p w:rsidR="00525C10" w:rsidRDefault="00525C10" w:rsidP="00DB7945">
            <w:pPr>
              <w:spacing w:before="0"/>
              <w:jc w:val="right"/>
              <w:rPr>
                <w:rFonts w:cs="Arial"/>
                <w:color w:val="16365C"/>
                <w:sz w:val="18"/>
                <w:szCs w:val="18"/>
              </w:rPr>
            </w:pPr>
            <w:r>
              <w:rPr>
                <w:rFonts w:cs="Arial"/>
                <w:color w:val="16365C"/>
                <w:sz w:val="18"/>
                <w:szCs w:val="18"/>
              </w:rPr>
              <w:t>2.967.045</w:t>
            </w:r>
          </w:p>
        </w:tc>
        <w:tc>
          <w:tcPr>
            <w:tcW w:w="1020" w:type="dxa"/>
            <w:shd w:val="clear" w:color="000000" w:fill="D9D9D9" w:themeFill="background1" w:themeFillShade="D9"/>
            <w:noWrap/>
            <w:vAlign w:val="center"/>
          </w:tcPr>
          <w:p w:rsidR="00525C10" w:rsidRDefault="00525C10" w:rsidP="00DB7945">
            <w:pPr>
              <w:spacing w:before="0"/>
              <w:jc w:val="right"/>
              <w:rPr>
                <w:rFonts w:cs="Arial"/>
                <w:color w:val="16365C"/>
                <w:sz w:val="18"/>
                <w:szCs w:val="18"/>
              </w:rPr>
            </w:pPr>
            <w:r>
              <w:rPr>
                <w:rFonts w:cs="Arial"/>
                <w:color w:val="16365C"/>
                <w:sz w:val="18"/>
                <w:szCs w:val="18"/>
              </w:rPr>
              <w:t>1.286.117</w:t>
            </w:r>
          </w:p>
        </w:tc>
        <w:tc>
          <w:tcPr>
            <w:tcW w:w="1020" w:type="dxa"/>
            <w:shd w:val="clear" w:color="000000" w:fill="D9D9D9" w:themeFill="background1" w:themeFillShade="D9"/>
            <w:noWrap/>
            <w:vAlign w:val="center"/>
          </w:tcPr>
          <w:p w:rsidR="00525C10" w:rsidRDefault="00525C10" w:rsidP="00DB7945">
            <w:pPr>
              <w:spacing w:before="0"/>
              <w:jc w:val="right"/>
              <w:rPr>
                <w:rFonts w:cs="Arial"/>
                <w:color w:val="16365C"/>
                <w:sz w:val="18"/>
                <w:szCs w:val="18"/>
              </w:rPr>
            </w:pPr>
            <w:r>
              <w:rPr>
                <w:rFonts w:cs="Arial"/>
                <w:color w:val="16365C"/>
                <w:sz w:val="18"/>
                <w:szCs w:val="18"/>
              </w:rPr>
              <w:t>1.680.928</w:t>
            </w:r>
          </w:p>
        </w:tc>
      </w:tr>
      <w:tr w:rsidR="00525C10" w:rsidRPr="00655EE1" w:rsidTr="00DB7945">
        <w:trPr>
          <w:trHeight w:val="283"/>
          <w:jc w:val="center"/>
        </w:trPr>
        <w:tc>
          <w:tcPr>
            <w:tcW w:w="1083" w:type="dxa"/>
            <w:shd w:val="clear" w:color="auto" w:fill="B8CCE4" w:themeFill="accent1" w:themeFillTint="66"/>
            <w:noWrap/>
            <w:vAlign w:val="center"/>
          </w:tcPr>
          <w:p w:rsidR="00525C10" w:rsidRPr="00655EE1" w:rsidRDefault="00525C10" w:rsidP="00DB7945">
            <w:pPr>
              <w:spacing w:before="0"/>
              <w:jc w:val="left"/>
              <w:rPr>
                <w:rFonts w:eastAsiaTheme="minorHAnsi" w:cs="Arial"/>
                <w:b/>
                <w:color w:val="244061" w:themeColor="accent1" w:themeShade="80"/>
                <w:sz w:val="18"/>
                <w:szCs w:val="18"/>
                <w:lang w:eastAsia="en-US"/>
              </w:rPr>
            </w:pPr>
            <w:r>
              <w:rPr>
                <w:rFonts w:eastAsiaTheme="minorHAnsi" w:cs="Arial"/>
                <w:b/>
                <w:color w:val="244061" w:themeColor="accent1" w:themeShade="80"/>
                <w:sz w:val="18"/>
                <w:szCs w:val="18"/>
                <w:lang w:eastAsia="en-US"/>
              </w:rPr>
              <w:t>UAS</w:t>
            </w:r>
          </w:p>
        </w:tc>
        <w:tc>
          <w:tcPr>
            <w:tcW w:w="1049" w:type="dxa"/>
            <w:shd w:val="clear" w:color="auto" w:fill="B8CCE4" w:themeFill="accent1" w:themeFillTint="66"/>
            <w:noWrap/>
            <w:vAlign w:val="center"/>
          </w:tcPr>
          <w:p w:rsidR="00525C10" w:rsidRDefault="00525C10" w:rsidP="00DB7945">
            <w:pPr>
              <w:spacing w:before="0"/>
              <w:jc w:val="right"/>
              <w:rPr>
                <w:rFonts w:cs="Arial"/>
                <w:color w:val="16365C"/>
                <w:sz w:val="18"/>
                <w:szCs w:val="18"/>
              </w:rPr>
            </w:pPr>
            <w:r>
              <w:rPr>
                <w:rFonts w:cs="Arial"/>
                <w:color w:val="16365C"/>
                <w:sz w:val="18"/>
                <w:szCs w:val="18"/>
              </w:rPr>
              <w:t>10.075</w:t>
            </w:r>
          </w:p>
        </w:tc>
        <w:tc>
          <w:tcPr>
            <w:tcW w:w="1049" w:type="dxa"/>
            <w:shd w:val="clear" w:color="auto" w:fill="B8CCE4" w:themeFill="accent1" w:themeFillTint="66"/>
            <w:vAlign w:val="center"/>
          </w:tcPr>
          <w:p w:rsidR="00525C10" w:rsidRDefault="00525C10" w:rsidP="00DB7945">
            <w:pPr>
              <w:spacing w:before="0"/>
              <w:jc w:val="right"/>
              <w:rPr>
                <w:rFonts w:cs="Arial"/>
                <w:color w:val="16365C"/>
                <w:sz w:val="18"/>
                <w:szCs w:val="18"/>
              </w:rPr>
            </w:pPr>
            <w:r>
              <w:rPr>
                <w:rFonts w:cs="Arial"/>
                <w:color w:val="16365C"/>
                <w:sz w:val="18"/>
                <w:szCs w:val="18"/>
              </w:rPr>
              <w:t>61.190</w:t>
            </w:r>
          </w:p>
        </w:tc>
        <w:tc>
          <w:tcPr>
            <w:tcW w:w="1304" w:type="dxa"/>
            <w:shd w:val="clear" w:color="auto" w:fill="B8CCE4" w:themeFill="accent1" w:themeFillTint="66"/>
            <w:vAlign w:val="center"/>
          </w:tcPr>
          <w:p w:rsidR="00525C10" w:rsidRDefault="00525C10" w:rsidP="00DB7945">
            <w:pPr>
              <w:spacing w:before="0"/>
              <w:jc w:val="right"/>
              <w:rPr>
                <w:rFonts w:cs="Arial"/>
                <w:color w:val="16365C"/>
                <w:sz w:val="18"/>
                <w:szCs w:val="18"/>
              </w:rPr>
            </w:pPr>
            <w:r>
              <w:rPr>
                <w:rFonts w:cs="Arial"/>
                <w:color w:val="16365C"/>
                <w:sz w:val="18"/>
                <w:szCs w:val="18"/>
              </w:rPr>
              <w:t>4.486</w:t>
            </w:r>
          </w:p>
        </w:tc>
        <w:tc>
          <w:tcPr>
            <w:tcW w:w="1134" w:type="dxa"/>
            <w:shd w:val="clear" w:color="auto" w:fill="B8CCE4" w:themeFill="accent1" w:themeFillTint="66"/>
            <w:noWrap/>
            <w:vAlign w:val="center"/>
          </w:tcPr>
          <w:p w:rsidR="00525C10" w:rsidRDefault="00525C10" w:rsidP="00DB7945">
            <w:pPr>
              <w:spacing w:before="0"/>
              <w:jc w:val="right"/>
              <w:rPr>
                <w:rFonts w:cs="Arial"/>
                <w:color w:val="16365C"/>
                <w:sz w:val="18"/>
                <w:szCs w:val="18"/>
              </w:rPr>
            </w:pPr>
            <w:r>
              <w:rPr>
                <w:rFonts w:cs="Arial"/>
                <w:color w:val="16365C"/>
                <w:sz w:val="18"/>
                <w:szCs w:val="18"/>
              </w:rPr>
              <w:t>38.161.163</w:t>
            </w:r>
          </w:p>
        </w:tc>
        <w:tc>
          <w:tcPr>
            <w:tcW w:w="1134" w:type="dxa"/>
            <w:shd w:val="clear" w:color="auto" w:fill="B8CCE4" w:themeFill="accent1" w:themeFillTint="66"/>
            <w:vAlign w:val="center"/>
          </w:tcPr>
          <w:p w:rsidR="00525C10" w:rsidRDefault="00525C10" w:rsidP="00DB7945">
            <w:pPr>
              <w:spacing w:before="0"/>
              <w:jc w:val="right"/>
              <w:rPr>
                <w:rFonts w:cs="Arial"/>
                <w:color w:val="16365C"/>
                <w:sz w:val="18"/>
                <w:szCs w:val="18"/>
              </w:rPr>
            </w:pPr>
            <w:r>
              <w:rPr>
                <w:rFonts w:cs="Arial"/>
                <w:color w:val="16365C"/>
                <w:sz w:val="18"/>
                <w:szCs w:val="18"/>
              </w:rPr>
              <w:t>36.248.660</w:t>
            </w:r>
          </w:p>
        </w:tc>
        <w:tc>
          <w:tcPr>
            <w:tcW w:w="1020" w:type="dxa"/>
            <w:shd w:val="clear" w:color="auto" w:fill="B8CCE4" w:themeFill="accent1" w:themeFillTint="66"/>
            <w:noWrap/>
            <w:vAlign w:val="center"/>
          </w:tcPr>
          <w:p w:rsidR="00525C10" w:rsidRDefault="00525C10" w:rsidP="00DB7945">
            <w:pPr>
              <w:spacing w:before="0"/>
              <w:jc w:val="right"/>
              <w:rPr>
                <w:rFonts w:cs="Arial"/>
                <w:color w:val="16365C"/>
                <w:sz w:val="18"/>
                <w:szCs w:val="18"/>
              </w:rPr>
            </w:pPr>
            <w:r>
              <w:rPr>
                <w:rFonts w:cs="Arial"/>
                <w:color w:val="16365C"/>
                <w:sz w:val="18"/>
                <w:szCs w:val="18"/>
              </w:rPr>
              <w:t>2.484.149</w:t>
            </w:r>
          </w:p>
        </w:tc>
        <w:tc>
          <w:tcPr>
            <w:tcW w:w="1020" w:type="dxa"/>
            <w:shd w:val="clear" w:color="auto" w:fill="B8CCE4" w:themeFill="accent1" w:themeFillTint="66"/>
            <w:noWrap/>
            <w:vAlign w:val="center"/>
          </w:tcPr>
          <w:p w:rsidR="00525C10" w:rsidRDefault="00525C10" w:rsidP="00DB7945">
            <w:pPr>
              <w:spacing w:before="0"/>
              <w:jc w:val="right"/>
              <w:rPr>
                <w:rFonts w:cs="Arial"/>
                <w:color w:val="16365C"/>
                <w:sz w:val="18"/>
                <w:szCs w:val="18"/>
              </w:rPr>
            </w:pPr>
            <w:r>
              <w:rPr>
                <w:rFonts w:cs="Arial"/>
                <w:color w:val="16365C"/>
                <w:sz w:val="18"/>
                <w:szCs w:val="18"/>
              </w:rPr>
              <w:t>995.888</w:t>
            </w:r>
          </w:p>
        </w:tc>
        <w:tc>
          <w:tcPr>
            <w:tcW w:w="1020" w:type="dxa"/>
            <w:shd w:val="clear" w:color="auto" w:fill="B8CCE4" w:themeFill="accent1" w:themeFillTint="66"/>
            <w:noWrap/>
            <w:vAlign w:val="center"/>
          </w:tcPr>
          <w:p w:rsidR="00525C10" w:rsidRDefault="00525C10" w:rsidP="00DB7945">
            <w:pPr>
              <w:spacing w:before="0"/>
              <w:jc w:val="right"/>
              <w:rPr>
                <w:rFonts w:cs="Arial"/>
                <w:color w:val="16365C"/>
                <w:sz w:val="18"/>
                <w:szCs w:val="18"/>
              </w:rPr>
            </w:pPr>
            <w:r>
              <w:rPr>
                <w:rFonts w:cs="Arial"/>
                <w:color w:val="16365C"/>
                <w:sz w:val="18"/>
                <w:szCs w:val="18"/>
              </w:rPr>
              <w:t>1.488.260</w:t>
            </w:r>
          </w:p>
        </w:tc>
      </w:tr>
      <w:tr w:rsidR="00525C10" w:rsidRPr="00655EE1" w:rsidTr="00DB7945">
        <w:trPr>
          <w:trHeight w:val="283"/>
          <w:jc w:val="center"/>
        </w:trPr>
        <w:tc>
          <w:tcPr>
            <w:tcW w:w="1083" w:type="dxa"/>
            <w:shd w:val="clear" w:color="auto" w:fill="DBE5F1" w:themeFill="accent1" w:themeFillTint="33"/>
            <w:noWrap/>
            <w:vAlign w:val="center"/>
          </w:tcPr>
          <w:p w:rsidR="00525C10" w:rsidRPr="00655EE1" w:rsidRDefault="00525C10" w:rsidP="00DB7945">
            <w:pPr>
              <w:spacing w:before="0"/>
              <w:jc w:val="left"/>
              <w:rPr>
                <w:rFonts w:eastAsiaTheme="minorHAnsi" w:cs="Arial"/>
                <w:b/>
                <w:color w:val="244061" w:themeColor="accent1" w:themeShade="80"/>
                <w:sz w:val="18"/>
                <w:szCs w:val="18"/>
                <w:lang w:eastAsia="en-US"/>
              </w:rPr>
            </w:pPr>
            <w:r w:rsidRPr="00655EE1">
              <w:rPr>
                <w:rFonts w:eastAsiaTheme="minorHAnsi" w:cs="Arial"/>
                <w:b/>
                <w:color w:val="244061" w:themeColor="accent1" w:themeShade="80"/>
                <w:sz w:val="18"/>
                <w:szCs w:val="18"/>
                <w:lang w:eastAsia="en-US"/>
              </w:rPr>
              <w:t xml:space="preserve">Grad </w:t>
            </w:r>
            <w:r>
              <w:rPr>
                <w:rFonts w:eastAsiaTheme="minorHAnsi" w:cs="Arial"/>
                <w:b/>
                <w:color w:val="244061" w:themeColor="accent1" w:themeShade="80"/>
                <w:sz w:val="18"/>
                <w:szCs w:val="18"/>
                <w:lang w:eastAsia="en-US"/>
              </w:rPr>
              <w:t>Split</w:t>
            </w:r>
          </w:p>
        </w:tc>
        <w:tc>
          <w:tcPr>
            <w:tcW w:w="1049" w:type="dxa"/>
            <w:shd w:val="clear" w:color="auto" w:fill="DBE5F1" w:themeFill="accent1" w:themeFillTint="33"/>
            <w:noWrap/>
            <w:vAlign w:val="center"/>
          </w:tcPr>
          <w:p w:rsidR="00525C10" w:rsidRDefault="00525C10" w:rsidP="00DB7945">
            <w:pPr>
              <w:spacing w:before="0"/>
              <w:jc w:val="right"/>
              <w:rPr>
                <w:rFonts w:cs="Arial"/>
                <w:color w:val="16365C"/>
                <w:sz w:val="18"/>
                <w:szCs w:val="18"/>
              </w:rPr>
            </w:pPr>
            <w:r>
              <w:rPr>
                <w:rFonts w:cs="Arial"/>
                <w:color w:val="16365C"/>
                <w:sz w:val="18"/>
                <w:szCs w:val="18"/>
              </w:rPr>
              <w:t>6.888</w:t>
            </w:r>
          </w:p>
        </w:tc>
        <w:tc>
          <w:tcPr>
            <w:tcW w:w="1049" w:type="dxa"/>
            <w:shd w:val="clear" w:color="auto" w:fill="DBE5F1" w:themeFill="accent1" w:themeFillTint="33"/>
            <w:vAlign w:val="center"/>
          </w:tcPr>
          <w:p w:rsidR="00525C10" w:rsidRDefault="00525C10" w:rsidP="00DB7945">
            <w:pPr>
              <w:spacing w:before="0"/>
              <w:jc w:val="right"/>
              <w:rPr>
                <w:rFonts w:cs="Arial"/>
                <w:color w:val="16365C"/>
                <w:sz w:val="18"/>
                <w:szCs w:val="18"/>
              </w:rPr>
            </w:pPr>
            <w:r>
              <w:rPr>
                <w:rFonts w:cs="Arial"/>
                <w:color w:val="16365C"/>
                <w:sz w:val="18"/>
                <w:szCs w:val="18"/>
              </w:rPr>
              <w:t>37.292</w:t>
            </w:r>
          </w:p>
        </w:tc>
        <w:tc>
          <w:tcPr>
            <w:tcW w:w="1304" w:type="dxa"/>
            <w:shd w:val="clear" w:color="auto" w:fill="DBE5F1" w:themeFill="accent1" w:themeFillTint="33"/>
            <w:vAlign w:val="center"/>
          </w:tcPr>
          <w:p w:rsidR="00525C10" w:rsidRDefault="00525C10" w:rsidP="00DB7945">
            <w:pPr>
              <w:spacing w:before="0"/>
              <w:jc w:val="right"/>
              <w:rPr>
                <w:rFonts w:cs="Arial"/>
                <w:color w:val="16365C"/>
                <w:sz w:val="18"/>
                <w:szCs w:val="18"/>
              </w:rPr>
            </w:pPr>
            <w:r>
              <w:rPr>
                <w:rFonts w:cs="Arial"/>
                <w:color w:val="16365C"/>
                <w:sz w:val="18"/>
                <w:szCs w:val="18"/>
              </w:rPr>
              <w:t>4.780</w:t>
            </w:r>
          </w:p>
        </w:tc>
        <w:tc>
          <w:tcPr>
            <w:tcW w:w="1134" w:type="dxa"/>
            <w:shd w:val="clear" w:color="auto" w:fill="DBE5F1" w:themeFill="accent1" w:themeFillTint="33"/>
            <w:noWrap/>
            <w:vAlign w:val="center"/>
          </w:tcPr>
          <w:p w:rsidR="00525C10" w:rsidRDefault="00525C10" w:rsidP="00DB7945">
            <w:pPr>
              <w:spacing w:before="0"/>
              <w:jc w:val="right"/>
              <w:rPr>
                <w:rFonts w:cs="Arial"/>
                <w:color w:val="16365C"/>
                <w:sz w:val="18"/>
                <w:szCs w:val="18"/>
              </w:rPr>
            </w:pPr>
            <w:r>
              <w:rPr>
                <w:rFonts w:cs="Arial"/>
                <w:color w:val="16365C"/>
                <w:sz w:val="18"/>
                <w:szCs w:val="18"/>
              </w:rPr>
              <w:t>22.808.767</w:t>
            </w:r>
          </w:p>
        </w:tc>
        <w:tc>
          <w:tcPr>
            <w:tcW w:w="1134" w:type="dxa"/>
            <w:shd w:val="clear" w:color="auto" w:fill="DBE5F1" w:themeFill="accent1" w:themeFillTint="33"/>
            <w:vAlign w:val="center"/>
          </w:tcPr>
          <w:p w:rsidR="00525C10" w:rsidRDefault="00525C10" w:rsidP="00DB7945">
            <w:pPr>
              <w:spacing w:before="0"/>
              <w:jc w:val="right"/>
              <w:rPr>
                <w:rFonts w:cs="Arial"/>
                <w:color w:val="16365C"/>
                <w:sz w:val="18"/>
                <w:szCs w:val="18"/>
              </w:rPr>
            </w:pPr>
            <w:r>
              <w:rPr>
                <w:rFonts w:cs="Arial"/>
                <w:color w:val="16365C"/>
                <w:sz w:val="18"/>
                <w:szCs w:val="18"/>
              </w:rPr>
              <w:t>21.698.844</w:t>
            </w:r>
          </w:p>
        </w:tc>
        <w:tc>
          <w:tcPr>
            <w:tcW w:w="1020" w:type="dxa"/>
            <w:shd w:val="clear" w:color="auto" w:fill="DBE5F1" w:themeFill="accent1" w:themeFillTint="33"/>
            <w:noWrap/>
            <w:vAlign w:val="center"/>
          </w:tcPr>
          <w:p w:rsidR="00525C10" w:rsidRDefault="00525C10" w:rsidP="00DB7945">
            <w:pPr>
              <w:spacing w:before="0"/>
              <w:jc w:val="right"/>
              <w:rPr>
                <w:rFonts w:cs="Arial"/>
                <w:color w:val="16365C"/>
                <w:sz w:val="18"/>
                <w:szCs w:val="18"/>
              </w:rPr>
            </w:pPr>
            <w:r>
              <w:rPr>
                <w:rFonts w:cs="Arial"/>
                <w:color w:val="16365C"/>
                <w:sz w:val="18"/>
                <w:szCs w:val="18"/>
              </w:rPr>
              <w:t>1.462.770</w:t>
            </w:r>
          </w:p>
        </w:tc>
        <w:tc>
          <w:tcPr>
            <w:tcW w:w="1020" w:type="dxa"/>
            <w:shd w:val="clear" w:color="auto" w:fill="DBE5F1" w:themeFill="accent1" w:themeFillTint="33"/>
            <w:noWrap/>
            <w:vAlign w:val="center"/>
          </w:tcPr>
          <w:p w:rsidR="00525C10" w:rsidRDefault="00525C10" w:rsidP="00DB7945">
            <w:pPr>
              <w:spacing w:before="0"/>
              <w:jc w:val="right"/>
              <w:rPr>
                <w:rFonts w:cs="Arial"/>
                <w:color w:val="16365C"/>
                <w:sz w:val="18"/>
                <w:szCs w:val="18"/>
              </w:rPr>
            </w:pPr>
            <w:r>
              <w:rPr>
                <w:rFonts w:cs="Arial"/>
                <w:color w:val="16365C"/>
                <w:sz w:val="18"/>
                <w:szCs w:val="18"/>
              </w:rPr>
              <w:t>592.992</w:t>
            </w:r>
          </w:p>
        </w:tc>
        <w:tc>
          <w:tcPr>
            <w:tcW w:w="1020" w:type="dxa"/>
            <w:shd w:val="clear" w:color="auto" w:fill="DBE5F1" w:themeFill="accent1" w:themeFillTint="33"/>
            <w:noWrap/>
            <w:vAlign w:val="center"/>
          </w:tcPr>
          <w:p w:rsidR="00525C10" w:rsidRDefault="00525C10" w:rsidP="00DB7945">
            <w:pPr>
              <w:spacing w:before="0"/>
              <w:jc w:val="right"/>
              <w:rPr>
                <w:rFonts w:cs="Arial"/>
                <w:color w:val="16365C"/>
                <w:sz w:val="18"/>
                <w:szCs w:val="18"/>
              </w:rPr>
            </w:pPr>
            <w:r>
              <w:rPr>
                <w:rFonts w:cs="Arial"/>
                <w:color w:val="16365C"/>
                <w:sz w:val="18"/>
                <w:szCs w:val="18"/>
              </w:rPr>
              <w:t>869.778</w:t>
            </w:r>
          </w:p>
        </w:tc>
      </w:tr>
    </w:tbl>
    <w:bookmarkEnd w:id="1"/>
    <w:p w:rsidR="00655EE1" w:rsidRPr="00655EE1" w:rsidRDefault="00655EE1" w:rsidP="00A24D63">
      <w:pPr>
        <w:widowControl w:val="0"/>
        <w:spacing w:before="40" w:line="276" w:lineRule="auto"/>
        <w:rPr>
          <w:bCs/>
          <w:i/>
          <w:color w:val="17365D"/>
          <w:sz w:val="16"/>
          <w:szCs w:val="18"/>
        </w:rPr>
      </w:pPr>
      <w:r w:rsidRPr="00655EE1">
        <w:rPr>
          <w:bCs/>
          <w:i/>
          <w:color w:val="17365D"/>
          <w:sz w:val="16"/>
          <w:szCs w:val="18"/>
        </w:rPr>
        <w:t>Izvor: Fina, Registar godišnjih financijskih izvještaja, obrada GFI-a za 201</w:t>
      </w:r>
      <w:r w:rsidR="002D009C">
        <w:rPr>
          <w:bCs/>
          <w:i/>
          <w:color w:val="17365D"/>
          <w:sz w:val="16"/>
          <w:szCs w:val="18"/>
        </w:rPr>
        <w:t>7</w:t>
      </w:r>
      <w:r w:rsidRPr="00655EE1">
        <w:rPr>
          <w:bCs/>
          <w:i/>
          <w:color w:val="17365D"/>
          <w:sz w:val="16"/>
          <w:szCs w:val="18"/>
        </w:rPr>
        <w:t>. godinu</w:t>
      </w:r>
    </w:p>
    <w:p w:rsidR="00236374" w:rsidRDefault="00655EE1" w:rsidP="00A24D63">
      <w:pPr>
        <w:widowControl w:val="0"/>
        <w:tabs>
          <w:tab w:val="left" w:pos="567"/>
        </w:tabs>
        <w:spacing w:line="276" w:lineRule="auto"/>
        <w:rPr>
          <w:rFonts w:eastAsia="Calibri" w:cs="Arial"/>
          <w:color w:val="244061"/>
          <w:sz w:val="20"/>
          <w:lang w:eastAsia="en-US"/>
        </w:rPr>
      </w:pPr>
      <w:r w:rsidRPr="00655EE1">
        <w:rPr>
          <w:rFonts w:eastAsia="Calibri" w:cs="Arial"/>
          <w:color w:val="244061"/>
          <w:sz w:val="20"/>
          <w:lang w:eastAsia="en-US"/>
        </w:rPr>
        <w:t>Iz prezentiranih je podataka vidn</w:t>
      </w:r>
      <w:r w:rsidR="005A66A8">
        <w:rPr>
          <w:rFonts w:eastAsia="Calibri" w:cs="Arial"/>
          <w:color w:val="244061"/>
          <w:sz w:val="20"/>
          <w:lang w:eastAsia="en-US"/>
        </w:rPr>
        <w:t xml:space="preserve">o da poduzetnici sa sjedištem u </w:t>
      </w:r>
      <w:r>
        <w:rPr>
          <w:rFonts w:eastAsia="Calibri" w:cs="Arial"/>
          <w:color w:val="244061"/>
          <w:sz w:val="20"/>
          <w:lang w:eastAsia="en-US"/>
        </w:rPr>
        <w:t>Splitu</w:t>
      </w:r>
      <w:r w:rsidRPr="00655EE1">
        <w:rPr>
          <w:rFonts w:eastAsia="Calibri" w:cs="Arial"/>
          <w:color w:val="244061"/>
          <w:sz w:val="20"/>
          <w:lang w:eastAsia="en-US"/>
        </w:rPr>
        <w:t xml:space="preserve"> imaju </w:t>
      </w:r>
      <w:r w:rsidR="00857286">
        <w:rPr>
          <w:rFonts w:eastAsia="Calibri" w:cs="Arial"/>
          <w:color w:val="244061"/>
          <w:sz w:val="20"/>
          <w:lang w:eastAsia="en-US"/>
        </w:rPr>
        <w:t>znatan</w:t>
      </w:r>
      <w:r w:rsidR="00C75A99">
        <w:rPr>
          <w:rFonts w:eastAsia="Calibri" w:cs="Arial"/>
          <w:color w:val="244061"/>
          <w:sz w:val="20"/>
          <w:lang w:eastAsia="en-US"/>
        </w:rPr>
        <w:t xml:space="preserve"> u</w:t>
      </w:r>
      <w:r w:rsidR="00C87485">
        <w:rPr>
          <w:rFonts w:eastAsia="Calibri" w:cs="Arial"/>
          <w:color w:val="244061"/>
          <w:sz w:val="20"/>
          <w:lang w:eastAsia="en-US"/>
        </w:rPr>
        <w:t>dio u</w:t>
      </w:r>
      <w:r w:rsidR="00C75A99">
        <w:rPr>
          <w:rFonts w:eastAsia="Calibri" w:cs="Arial"/>
          <w:color w:val="244061"/>
          <w:sz w:val="20"/>
          <w:lang w:eastAsia="en-US"/>
        </w:rPr>
        <w:t xml:space="preserve"> financijsk</w:t>
      </w:r>
      <w:r w:rsidR="00C87485">
        <w:rPr>
          <w:rFonts w:eastAsia="Calibri" w:cs="Arial"/>
          <w:color w:val="244061"/>
          <w:sz w:val="20"/>
          <w:lang w:eastAsia="en-US"/>
        </w:rPr>
        <w:t>im rezultatima</w:t>
      </w:r>
      <w:r w:rsidR="00C75A99">
        <w:rPr>
          <w:rFonts w:eastAsia="Calibri" w:cs="Arial"/>
          <w:color w:val="244061"/>
          <w:sz w:val="20"/>
          <w:lang w:eastAsia="en-US"/>
        </w:rPr>
        <w:t xml:space="preserve"> </w:t>
      </w:r>
      <w:r w:rsidRPr="00655EE1">
        <w:rPr>
          <w:rFonts w:eastAsia="Calibri" w:cs="Arial"/>
          <w:color w:val="244061"/>
          <w:sz w:val="20"/>
          <w:lang w:eastAsia="en-US"/>
        </w:rPr>
        <w:t xml:space="preserve">poduzetnika Urbane aglomeracije </w:t>
      </w:r>
      <w:r>
        <w:rPr>
          <w:rFonts w:eastAsia="Calibri" w:cs="Arial"/>
          <w:color w:val="244061"/>
          <w:sz w:val="20"/>
          <w:lang w:eastAsia="en-US"/>
        </w:rPr>
        <w:t>Split</w:t>
      </w:r>
      <w:r w:rsidR="00C75A99">
        <w:rPr>
          <w:rFonts w:eastAsia="Calibri" w:cs="Arial"/>
          <w:color w:val="244061"/>
          <w:sz w:val="20"/>
          <w:lang w:eastAsia="en-US"/>
        </w:rPr>
        <w:t xml:space="preserve"> </w:t>
      </w:r>
      <w:r w:rsidR="00C87485">
        <w:rPr>
          <w:rFonts w:eastAsia="Calibri" w:cs="Arial"/>
          <w:color w:val="244061"/>
          <w:sz w:val="20"/>
          <w:lang w:eastAsia="en-US"/>
        </w:rPr>
        <w:t xml:space="preserve">i jednako </w:t>
      </w:r>
      <w:r w:rsidR="00C75A99">
        <w:rPr>
          <w:rFonts w:eastAsia="Calibri" w:cs="Arial"/>
          <w:color w:val="244061"/>
          <w:sz w:val="20"/>
          <w:lang w:eastAsia="en-US"/>
        </w:rPr>
        <w:t xml:space="preserve">tako </w:t>
      </w:r>
      <w:r w:rsidR="00C87485">
        <w:rPr>
          <w:rFonts w:eastAsia="Calibri" w:cs="Arial"/>
          <w:color w:val="244061"/>
          <w:sz w:val="20"/>
          <w:lang w:eastAsia="en-US"/>
        </w:rPr>
        <w:t xml:space="preserve">u </w:t>
      </w:r>
      <w:r w:rsidR="00C75A99">
        <w:rPr>
          <w:rFonts w:eastAsia="Calibri" w:cs="Arial"/>
          <w:color w:val="244061"/>
          <w:sz w:val="20"/>
          <w:lang w:eastAsia="en-US"/>
        </w:rPr>
        <w:t>Splitsko-dalmatinsk</w:t>
      </w:r>
      <w:r w:rsidR="00C87485">
        <w:rPr>
          <w:rFonts w:eastAsia="Calibri" w:cs="Arial"/>
          <w:color w:val="244061"/>
          <w:sz w:val="20"/>
          <w:lang w:eastAsia="en-US"/>
        </w:rPr>
        <w:t>oj</w:t>
      </w:r>
      <w:r w:rsidR="00C75A99">
        <w:rPr>
          <w:rFonts w:eastAsia="Calibri" w:cs="Arial"/>
          <w:color w:val="244061"/>
          <w:sz w:val="20"/>
          <w:lang w:eastAsia="en-US"/>
        </w:rPr>
        <w:t xml:space="preserve"> županij</w:t>
      </w:r>
      <w:r w:rsidR="00C87485">
        <w:rPr>
          <w:rFonts w:eastAsia="Calibri" w:cs="Arial"/>
          <w:color w:val="244061"/>
          <w:sz w:val="20"/>
          <w:lang w:eastAsia="en-US"/>
        </w:rPr>
        <w:t>i (grafikon 1)</w:t>
      </w:r>
      <w:r w:rsidR="00C75A99">
        <w:rPr>
          <w:rFonts w:eastAsia="Calibri" w:cs="Arial"/>
          <w:color w:val="244061"/>
          <w:sz w:val="20"/>
          <w:lang w:eastAsia="en-US"/>
        </w:rPr>
        <w:t>.</w:t>
      </w:r>
    </w:p>
    <w:p w:rsidR="00A24D63" w:rsidRPr="003E42C5" w:rsidRDefault="00A24D63" w:rsidP="00DB7945">
      <w:pPr>
        <w:widowControl w:val="0"/>
        <w:spacing w:after="40"/>
        <w:ind w:left="1134" w:hanging="1134"/>
        <w:jc w:val="left"/>
        <w:rPr>
          <w:rFonts w:eastAsia="Calibri" w:cs="Arial"/>
          <w:color w:val="244061"/>
          <w:sz w:val="18"/>
          <w:szCs w:val="18"/>
          <w:lang w:eastAsia="en-US"/>
        </w:rPr>
      </w:pPr>
      <w:r w:rsidRPr="003E42C5">
        <w:rPr>
          <w:rFonts w:eastAsia="Calibri" w:cs="Arial"/>
          <w:b/>
          <w:color w:val="17365D"/>
          <w:sz w:val="18"/>
          <w:szCs w:val="18"/>
          <w:lang w:eastAsia="en-US"/>
        </w:rPr>
        <w:t>Grafikon 1.</w:t>
      </w:r>
      <w:r w:rsidRPr="003E42C5">
        <w:rPr>
          <w:rFonts w:eastAsia="Calibri" w:cs="Arial"/>
          <w:b/>
          <w:color w:val="17365D"/>
          <w:sz w:val="18"/>
          <w:szCs w:val="18"/>
          <w:lang w:eastAsia="en-US"/>
        </w:rPr>
        <w:tab/>
      </w:r>
      <w:r w:rsidRPr="003E42C5">
        <w:rPr>
          <w:rFonts w:eastAsia="Calibri" w:cs="Arial"/>
          <w:b/>
          <w:color w:val="244061"/>
          <w:sz w:val="18"/>
          <w:szCs w:val="18"/>
          <w:lang w:eastAsia="en-US"/>
        </w:rPr>
        <w:t>Udio poduzetnika Urbane aglomeracije Split u ukupnom prihodu i neto dobiti poduzetnika Splitsko-dalmatinske</w:t>
      </w:r>
      <w:r>
        <w:rPr>
          <w:rFonts w:eastAsia="Calibri" w:cs="Arial"/>
          <w:b/>
          <w:color w:val="244061"/>
          <w:sz w:val="18"/>
          <w:szCs w:val="18"/>
          <w:lang w:eastAsia="en-US"/>
        </w:rPr>
        <w:t xml:space="preserve"> županije u 201</w:t>
      </w:r>
      <w:r w:rsidR="002D009C">
        <w:rPr>
          <w:rFonts w:eastAsia="Calibri" w:cs="Arial"/>
          <w:b/>
          <w:color w:val="244061"/>
          <w:sz w:val="18"/>
          <w:szCs w:val="18"/>
          <w:lang w:eastAsia="en-US"/>
        </w:rPr>
        <w:t>7</w:t>
      </w:r>
      <w:r w:rsidRPr="003E42C5">
        <w:rPr>
          <w:rFonts w:eastAsia="Calibri" w:cs="Arial"/>
          <w:b/>
          <w:color w:val="244061"/>
          <w:sz w:val="18"/>
          <w:szCs w:val="18"/>
          <w:lang w:eastAsia="en-US"/>
        </w:rPr>
        <w:t xml:space="preserve"> godini</w:t>
      </w:r>
    </w:p>
    <w:p w:rsidR="00A24D63" w:rsidRDefault="00525C10" w:rsidP="00525C10">
      <w:pPr>
        <w:widowControl w:val="0"/>
        <w:spacing w:before="0" w:after="60"/>
        <w:ind w:left="1134" w:hanging="1134"/>
        <w:jc w:val="center"/>
        <w:rPr>
          <w:rFonts w:eastAsia="Calibri" w:cs="Arial"/>
          <w:color w:val="244061"/>
          <w:sz w:val="18"/>
          <w:szCs w:val="18"/>
          <w:lang w:eastAsia="en-US"/>
        </w:rPr>
      </w:pPr>
      <w:r>
        <w:rPr>
          <w:rFonts w:eastAsia="Calibri" w:cs="Arial"/>
          <w:noProof/>
          <w:color w:val="244061"/>
          <w:sz w:val="18"/>
          <w:szCs w:val="18"/>
        </w:rPr>
        <w:drawing>
          <wp:inline distT="0" distB="0" distL="0" distR="0" wp14:anchorId="01803BDA" wp14:editId="2F84CCB3">
            <wp:extent cx="6120000" cy="1728000"/>
            <wp:effectExtent l="0" t="0" r="0" b="571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0" cy="1728000"/>
                    </a:xfrm>
                    <a:prstGeom prst="rect">
                      <a:avLst/>
                    </a:prstGeom>
                    <a:noFill/>
                  </pic:spPr>
                </pic:pic>
              </a:graphicData>
            </a:graphic>
          </wp:inline>
        </w:drawing>
      </w:r>
    </w:p>
    <w:p w:rsidR="00A24D63" w:rsidRPr="002E14BE" w:rsidRDefault="00A24D63" w:rsidP="00A24D63">
      <w:pPr>
        <w:spacing w:before="40"/>
        <w:jc w:val="left"/>
        <w:rPr>
          <w:rFonts w:eastAsia="Calibri" w:cs="Arial"/>
          <w:color w:val="244061"/>
          <w:sz w:val="18"/>
          <w:szCs w:val="18"/>
          <w:lang w:eastAsia="en-US"/>
        </w:rPr>
      </w:pPr>
      <w:r w:rsidRPr="00A77A2F">
        <w:rPr>
          <w:bCs/>
          <w:i/>
          <w:color w:val="17365D"/>
          <w:sz w:val="16"/>
          <w:szCs w:val="18"/>
        </w:rPr>
        <w:t>Izvor: Fina, Registar godišnjih financijskih izvještaja, obrada GFI-a za 201</w:t>
      </w:r>
      <w:r w:rsidR="002D009C">
        <w:rPr>
          <w:bCs/>
          <w:i/>
          <w:color w:val="17365D"/>
          <w:sz w:val="16"/>
          <w:szCs w:val="18"/>
        </w:rPr>
        <w:t>7</w:t>
      </w:r>
      <w:r w:rsidRPr="00A77A2F">
        <w:rPr>
          <w:bCs/>
          <w:i/>
          <w:color w:val="17365D"/>
          <w:sz w:val="16"/>
          <w:szCs w:val="18"/>
        </w:rPr>
        <w:t>. godinu</w:t>
      </w:r>
    </w:p>
    <w:p w:rsidR="00AA30C7" w:rsidRDefault="00D30534" w:rsidP="00135A66">
      <w:pPr>
        <w:pageBreakBefore/>
        <w:tabs>
          <w:tab w:val="left" w:pos="567"/>
        </w:tabs>
        <w:spacing w:before="0" w:line="276" w:lineRule="auto"/>
        <w:rPr>
          <w:bCs/>
          <w:color w:val="244061" w:themeColor="accent1" w:themeShade="80"/>
          <w:sz w:val="20"/>
        </w:rPr>
      </w:pPr>
      <w:r>
        <w:rPr>
          <w:rFonts w:eastAsia="Calibri" w:cs="Arial"/>
          <w:color w:val="244061"/>
          <w:sz w:val="20"/>
          <w:lang w:eastAsia="en-US"/>
        </w:rPr>
        <w:t xml:space="preserve">Udio poduzetnika sa sjedištem u gradu Splitu </w:t>
      </w:r>
      <w:r w:rsidR="00655EE1" w:rsidRPr="00655EE1">
        <w:rPr>
          <w:rFonts w:eastAsia="Calibri" w:cs="Arial"/>
          <w:color w:val="244061"/>
          <w:sz w:val="20"/>
          <w:lang w:eastAsia="en-US"/>
        </w:rPr>
        <w:t xml:space="preserve">u broju poduzetnika Urbane aglomeracije </w:t>
      </w:r>
      <w:r w:rsidR="00655EE1">
        <w:rPr>
          <w:rFonts w:eastAsia="Calibri" w:cs="Arial"/>
          <w:color w:val="244061"/>
          <w:sz w:val="20"/>
          <w:lang w:eastAsia="en-US"/>
        </w:rPr>
        <w:t>Split</w:t>
      </w:r>
      <w:r w:rsidR="00655EE1" w:rsidRPr="00655EE1">
        <w:rPr>
          <w:rFonts w:eastAsia="Calibri" w:cs="Arial"/>
          <w:color w:val="244061"/>
          <w:sz w:val="20"/>
          <w:lang w:eastAsia="en-US"/>
        </w:rPr>
        <w:t xml:space="preserve"> </w:t>
      </w:r>
      <w:r>
        <w:rPr>
          <w:rFonts w:eastAsia="Calibri" w:cs="Arial"/>
          <w:color w:val="244061"/>
          <w:sz w:val="20"/>
          <w:lang w:eastAsia="en-US"/>
        </w:rPr>
        <w:t xml:space="preserve">je </w:t>
      </w:r>
      <w:r w:rsidR="005057FB" w:rsidRPr="00C07AF5">
        <w:rPr>
          <w:rFonts w:eastAsia="Calibri" w:cs="Arial"/>
          <w:color w:val="244061"/>
          <w:sz w:val="20"/>
          <w:lang w:eastAsia="en-US"/>
        </w:rPr>
        <w:t>6</w:t>
      </w:r>
      <w:r w:rsidR="00525C10" w:rsidRPr="00C07AF5">
        <w:rPr>
          <w:rFonts w:eastAsia="Calibri" w:cs="Arial"/>
          <w:color w:val="244061"/>
          <w:sz w:val="20"/>
          <w:lang w:eastAsia="en-US"/>
        </w:rPr>
        <w:t>8</w:t>
      </w:r>
      <w:r w:rsidR="005057FB" w:rsidRPr="00C07AF5">
        <w:rPr>
          <w:rFonts w:eastAsia="Calibri" w:cs="Arial"/>
          <w:color w:val="244061"/>
          <w:sz w:val="20"/>
          <w:lang w:eastAsia="en-US"/>
        </w:rPr>
        <w:t>,</w:t>
      </w:r>
      <w:r w:rsidR="00525C10" w:rsidRPr="00C07AF5">
        <w:rPr>
          <w:rFonts w:eastAsia="Calibri" w:cs="Arial"/>
          <w:color w:val="244061"/>
          <w:sz w:val="20"/>
          <w:lang w:eastAsia="en-US"/>
        </w:rPr>
        <w:t>4</w:t>
      </w:r>
      <w:r w:rsidR="00655EE1" w:rsidRPr="00C07AF5">
        <w:rPr>
          <w:rFonts w:eastAsia="Calibri" w:cs="Arial"/>
          <w:color w:val="244061"/>
          <w:sz w:val="20"/>
          <w:lang w:eastAsia="en-US"/>
        </w:rPr>
        <w:t xml:space="preserve"> %, u broju zaposlenih </w:t>
      </w:r>
      <w:r w:rsidR="005057FB" w:rsidRPr="00C07AF5">
        <w:rPr>
          <w:rFonts w:eastAsia="Calibri" w:cs="Arial"/>
          <w:color w:val="244061"/>
          <w:sz w:val="20"/>
          <w:lang w:eastAsia="en-US"/>
        </w:rPr>
        <w:t>6</w:t>
      </w:r>
      <w:r w:rsidR="00B22157">
        <w:rPr>
          <w:rFonts w:eastAsia="Calibri" w:cs="Arial"/>
          <w:color w:val="244061"/>
          <w:sz w:val="20"/>
          <w:lang w:eastAsia="en-US"/>
        </w:rPr>
        <w:t>0,9</w:t>
      </w:r>
      <w:r w:rsidR="00655EE1" w:rsidRPr="00C07AF5">
        <w:rPr>
          <w:rFonts w:eastAsia="Calibri" w:cs="Arial"/>
          <w:color w:val="244061"/>
          <w:sz w:val="20"/>
          <w:lang w:eastAsia="en-US"/>
        </w:rPr>
        <w:t xml:space="preserve"> %, ukupnim prihodima </w:t>
      </w:r>
      <w:r w:rsidR="00525C10" w:rsidRPr="00C07AF5">
        <w:rPr>
          <w:rFonts w:eastAsia="Calibri" w:cs="Arial"/>
          <w:color w:val="244061"/>
          <w:sz w:val="20"/>
          <w:lang w:eastAsia="en-US"/>
        </w:rPr>
        <w:t>59,8</w:t>
      </w:r>
      <w:r w:rsidR="00655EE1" w:rsidRPr="00C07AF5">
        <w:rPr>
          <w:rFonts w:eastAsia="Calibri" w:cs="Arial"/>
          <w:color w:val="244061"/>
          <w:sz w:val="20"/>
          <w:lang w:eastAsia="en-US"/>
        </w:rPr>
        <w:t xml:space="preserve"> %, ukupnim rashodima </w:t>
      </w:r>
      <w:r w:rsidR="00525C10" w:rsidRPr="00C07AF5">
        <w:rPr>
          <w:rFonts w:eastAsia="Calibri" w:cs="Arial"/>
          <w:color w:val="244061"/>
          <w:sz w:val="20"/>
          <w:lang w:eastAsia="en-US"/>
        </w:rPr>
        <w:t>59,9</w:t>
      </w:r>
      <w:r w:rsidR="00655EE1" w:rsidRPr="00C07AF5">
        <w:rPr>
          <w:rFonts w:eastAsia="Calibri" w:cs="Arial"/>
          <w:color w:val="244061"/>
          <w:sz w:val="20"/>
          <w:lang w:eastAsia="en-US"/>
        </w:rPr>
        <w:t xml:space="preserve"> %, dobiti razdoblja </w:t>
      </w:r>
      <w:r w:rsidR="00271A0B" w:rsidRPr="00C07AF5">
        <w:rPr>
          <w:rFonts w:eastAsia="Calibri" w:cs="Arial"/>
          <w:color w:val="244061"/>
          <w:sz w:val="20"/>
          <w:lang w:eastAsia="en-US"/>
        </w:rPr>
        <w:t>5</w:t>
      </w:r>
      <w:r w:rsidR="00525C10" w:rsidRPr="00C07AF5">
        <w:rPr>
          <w:rFonts w:eastAsia="Calibri" w:cs="Arial"/>
          <w:color w:val="244061"/>
          <w:sz w:val="20"/>
          <w:lang w:eastAsia="en-US"/>
        </w:rPr>
        <w:t>8</w:t>
      </w:r>
      <w:r w:rsidR="00271A0B" w:rsidRPr="00C07AF5">
        <w:rPr>
          <w:rFonts w:eastAsia="Calibri" w:cs="Arial"/>
          <w:color w:val="244061"/>
          <w:sz w:val="20"/>
          <w:lang w:eastAsia="en-US"/>
        </w:rPr>
        <w:t>,9</w:t>
      </w:r>
      <w:r w:rsidR="00655EE1" w:rsidRPr="00C07AF5">
        <w:rPr>
          <w:rFonts w:eastAsia="Calibri" w:cs="Arial"/>
          <w:color w:val="244061"/>
          <w:sz w:val="20"/>
          <w:lang w:eastAsia="en-US"/>
        </w:rPr>
        <w:t xml:space="preserve"> %, gubitku razdoblja </w:t>
      </w:r>
      <w:r w:rsidR="00525C10" w:rsidRPr="00C07AF5">
        <w:rPr>
          <w:rFonts w:eastAsia="Calibri" w:cs="Arial"/>
          <w:color w:val="244061"/>
          <w:sz w:val="20"/>
          <w:lang w:eastAsia="en-US"/>
        </w:rPr>
        <w:t>5</w:t>
      </w:r>
      <w:r w:rsidR="00271A0B" w:rsidRPr="00C07AF5">
        <w:rPr>
          <w:rFonts w:eastAsia="Calibri" w:cs="Arial"/>
          <w:color w:val="244061"/>
          <w:sz w:val="20"/>
          <w:lang w:eastAsia="en-US"/>
        </w:rPr>
        <w:t>9</w:t>
      </w:r>
      <w:r w:rsidR="00655EE1" w:rsidRPr="00C07AF5">
        <w:rPr>
          <w:rFonts w:eastAsia="Calibri" w:cs="Arial"/>
          <w:color w:val="244061"/>
          <w:sz w:val="20"/>
          <w:lang w:eastAsia="en-US"/>
        </w:rPr>
        <w:t>,</w:t>
      </w:r>
      <w:r w:rsidR="00525C10" w:rsidRPr="00C07AF5">
        <w:rPr>
          <w:rFonts w:eastAsia="Calibri" w:cs="Arial"/>
          <w:color w:val="244061"/>
          <w:sz w:val="20"/>
          <w:lang w:eastAsia="en-US"/>
        </w:rPr>
        <w:t>5</w:t>
      </w:r>
      <w:r w:rsidR="00655EE1" w:rsidRPr="00C07AF5">
        <w:rPr>
          <w:rFonts w:eastAsia="Calibri" w:cs="Arial"/>
          <w:color w:val="244061"/>
          <w:sz w:val="20"/>
          <w:lang w:eastAsia="en-US"/>
        </w:rPr>
        <w:t xml:space="preserve"> %,</w:t>
      </w:r>
      <w:r w:rsidR="00655EE1" w:rsidRPr="00267AA1">
        <w:rPr>
          <w:rFonts w:eastAsia="Calibri" w:cs="Arial"/>
          <w:color w:val="244061"/>
          <w:sz w:val="20"/>
          <w:lang w:eastAsia="en-US"/>
        </w:rPr>
        <w:t xml:space="preserve"> uvozu </w:t>
      </w:r>
      <w:r w:rsidR="00267AA1" w:rsidRPr="00267AA1">
        <w:rPr>
          <w:rFonts w:eastAsia="Calibri" w:cs="Arial"/>
          <w:color w:val="244061"/>
          <w:sz w:val="20"/>
          <w:lang w:eastAsia="en-US"/>
        </w:rPr>
        <w:t>45,1</w:t>
      </w:r>
      <w:r w:rsidR="00655EE1" w:rsidRPr="002D009C">
        <w:rPr>
          <w:rFonts w:eastAsia="Calibri" w:cs="Arial"/>
          <w:color w:val="FF0000"/>
          <w:sz w:val="20"/>
          <w:lang w:eastAsia="en-US"/>
        </w:rPr>
        <w:t xml:space="preserve"> </w:t>
      </w:r>
      <w:r w:rsidR="00655EE1" w:rsidRPr="00267AA1">
        <w:rPr>
          <w:bCs/>
          <w:color w:val="244061" w:themeColor="accent1" w:themeShade="80"/>
          <w:sz w:val="20"/>
        </w:rPr>
        <w:t xml:space="preserve">% i izvozu </w:t>
      </w:r>
      <w:r w:rsidR="00267AA1" w:rsidRPr="00267AA1">
        <w:rPr>
          <w:bCs/>
          <w:color w:val="244061" w:themeColor="accent1" w:themeShade="80"/>
          <w:sz w:val="20"/>
        </w:rPr>
        <w:t>38,9</w:t>
      </w:r>
      <w:r w:rsidR="00655EE1" w:rsidRPr="00267AA1">
        <w:rPr>
          <w:bCs/>
          <w:color w:val="244061" w:themeColor="accent1" w:themeShade="80"/>
          <w:sz w:val="20"/>
        </w:rPr>
        <w:t xml:space="preserve"> %.</w:t>
      </w:r>
    </w:p>
    <w:p w:rsidR="00883FAC" w:rsidRPr="004367D9" w:rsidRDefault="00883FAC" w:rsidP="00135A66">
      <w:pPr>
        <w:widowControl w:val="0"/>
        <w:spacing w:before="120" w:line="276" w:lineRule="auto"/>
        <w:rPr>
          <w:bCs/>
          <w:color w:val="244061" w:themeColor="accent1" w:themeShade="80"/>
          <w:sz w:val="20"/>
        </w:rPr>
      </w:pPr>
      <w:r w:rsidRPr="004367D9">
        <w:rPr>
          <w:bCs/>
          <w:color w:val="244061" w:themeColor="accent1" w:themeShade="80"/>
          <w:sz w:val="20"/>
        </w:rPr>
        <w:t>Među poduzetnicima Urbane aglomeracije Split</w:t>
      </w:r>
      <w:r>
        <w:rPr>
          <w:bCs/>
          <w:color w:val="244061" w:themeColor="accent1" w:themeShade="80"/>
          <w:sz w:val="20"/>
        </w:rPr>
        <w:t xml:space="preserve"> </w:t>
      </w:r>
      <w:r w:rsidR="004E493C">
        <w:rPr>
          <w:bCs/>
          <w:color w:val="244061" w:themeColor="accent1" w:themeShade="80"/>
          <w:sz w:val="20"/>
        </w:rPr>
        <w:t xml:space="preserve">prema </w:t>
      </w:r>
      <w:r>
        <w:rPr>
          <w:bCs/>
          <w:color w:val="244061" w:themeColor="accent1" w:themeShade="80"/>
          <w:sz w:val="20"/>
        </w:rPr>
        <w:t xml:space="preserve">ostvarenim financijskim rezultatima </w:t>
      </w:r>
      <w:r w:rsidR="009C6A85">
        <w:rPr>
          <w:bCs/>
          <w:color w:val="244061" w:themeColor="accent1" w:themeShade="80"/>
          <w:sz w:val="20"/>
        </w:rPr>
        <w:t>u</w:t>
      </w:r>
      <w:r>
        <w:rPr>
          <w:bCs/>
          <w:color w:val="244061" w:themeColor="accent1" w:themeShade="80"/>
          <w:sz w:val="20"/>
        </w:rPr>
        <w:t xml:space="preserve"> 2017. godin</w:t>
      </w:r>
      <w:r w:rsidR="009C6A85">
        <w:rPr>
          <w:bCs/>
          <w:color w:val="244061" w:themeColor="accent1" w:themeShade="80"/>
          <w:sz w:val="20"/>
        </w:rPr>
        <w:t>u</w:t>
      </w:r>
      <w:r>
        <w:rPr>
          <w:bCs/>
          <w:color w:val="244061" w:themeColor="accent1" w:themeShade="80"/>
          <w:sz w:val="20"/>
        </w:rPr>
        <w:t xml:space="preserve"> </w:t>
      </w:r>
      <w:r w:rsidR="009C6A85">
        <w:rPr>
          <w:bCs/>
          <w:color w:val="244061" w:themeColor="accent1" w:themeShade="80"/>
          <w:sz w:val="20"/>
        </w:rPr>
        <w:t xml:space="preserve">najbolja su </w:t>
      </w:r>
      <w:r>
        <w:rPr>
          <w:bCs/>
          <w:color w:val="244061" w:themeColor="accent1" w:themeShade="80"/>
          <w:sz w:val="20"/>
        </w:rPr>
        <w:t xml:space="preserve">dva društva, </w:t>
      </w:r>
      <w:hyperlink r:id="rId14" w:history="1">
        <w:r w:rsidRPr="004367D9">
          <w:rPr>
            <w:rStyle w:val="Hiperveza"/>
            <w:rFonts w:cs="Arial"/>
            <w:sz w:val="20"/>
          </w:rPr>
          <w:t>TOMMY d.o.o.</w:t>
        </w:r>
      </w:hyperlink>
      <w:r w:rsidR="004E493C">
        <w:rPr>
          <w:rStyle w:val="Hiperveza"/>
          <w:rFonts w:cs="Arial"/>
          <w:sz w:val="20"/>
        </w:rPr>
        <w:t>,</w:t>
      </w:r>
      <w:r w:rsidR="004E493C" w:rsidRPr="004E493C">
        <w:rPr>
          <w:rStyle w:val="Hiperveza"/>
          <w:rFonts w:cs="Arial"/>
          <w:color w:val="244061" w:themeColor="accent1" w:themeShade="80"/>
          <w:sz w:val="20"/>
          <w:u w:val="none"/>
        </w:rPr>
        <w:t xml:space="preserve"> s</w:t>
      </w:r>
      <w:r w:rsidRPr="004E493C">
        <w:rPr>
          <w:rFonts w:cs="Arial"/>
          <w:color w:val="244061" w:themeColor="accent1" w:themeShade="80"/>
          <w:sz w:val="20"/>
        </w:rPr>
        <w:t xml:space="preserve"> </w:t>
      </w:r>
      <w:r>
        <w:rPr>
          <w:rFonts w:cs="Arial"/>
          <w:color w:val="244061" w:themeColor="accent1" w:themeShade="80"/>
          <w:sz w:val="20"/>
        </w:rPr>
        <w:t>2.708</w:t>
      </w:r>
      <w:r w:rsidR="004E493C">
        <w:rPr>
          <w:rFonts w:cs="Arial"/>
          <w:color w:val="244061" w:themeColor="accent1" w:themeShade="80"/>
          <w:sz w:val="20"/>
        </w:rPr>
        <w:t xml:space="preserve"> zaposlenih koji su </w:t>
      </w:r>
      <w:r>
        <w:rPr>
          <w:rFonts w:cs="Arial"/>
          <w:color w:val="244061" w:themeColor="accent1" w:themeShade="80"/>
          <w:sz w:val="20"/>
        </w:rPr>
        <w:t>ostvari</w:t>
      </w:r>
      <w:r w:rsidR="004E493C">
        <w:rPr>
          <w:rFonts w:cs="Arial"/>
          <w:color w:val="244061" w:themeColor="accent1" w:themeShade="80"/>
          <w:sz w:val="20"/>
        </w:rPr>
        <w:t xml:space="preserve">li </w:t>
      </w:r>
      <w:r w:rsidRPr="00E61152">
        <w:rPr>
          <w:b/>
          <w:bCs/>
          <w:color w:val="244061" w:themeColor="accent1" w:themeShade="80"/>
          <w:sz w:val="20"/>
        </w:rPr>
        <w:t>najveći ukupni prihod</w:t>
      </w:r>
      <w:r>
        <w:rPr>
          <w:bCs/>
          <w:color w:val="244061" w:themeColor="accent1" w:themeShade="80"/>
          <w:sz w:val="20"/>
        </w:rPr>
        <w:t xml:space="preserve"> u iznosu od </w:t>
      </w:r>
      <w:r w:rsidRPr="004367D9">
        <w:rPr>
          <w:bCs/>
          <w:color w:val="244061" w:themeColor="accent1" w:themeShade="80"/>
          <w:sz w:val="20"/>
        </w:rPr>
        <w:t>2,</w:t>
      </w:r>
      <w:r>
        <w:rPr>
          <w:bCs/>
          <w:color w:val="244061" w:themeColor="accent1" w:themeShade="80"/>
          <w:sz w:val="20"/>
        </w:rPr>
        <w:t>7 milijardi</w:t>
      </w:r>
      <w:r w:rsidRPr="004367D9">
        <w:rPr>
          <w:bCs/>
          <w:color w:val="244061" w:themeColor="accent1" w:themeShade="80"/>
          <w:sz w:val="20"/>
        </w:rPr>
        <w:t xml:space="preserve"> kuna</w:t>
      </w:r>
      <w:r>
        <w:rPr>
          <w:bCs/>
          <w:color w:val="244061" w:themeColor="accent1" w:themeShade="80"/>
          <w:sz w:val="20"/>
        </w:rPr>
        <w:t xml:space="preserve"> </w:t>
      </w:r>
      <w:r w:rsidR="004E493C">
        <w:rPr>
          <w:bCs/>
          <w:color w:val="244061" w:themeColor="accent1" w:themeShade="80"/>
          <w:sz w:val="20"/>
        </w:rPr>
        <w:t xml:space="preserve">i </w:t>
      </w:r>
      <w:r w:rsidRPr="00E61152">
        <w:rPr>
          <w:b/>
          <w:bCs/>
          <w:color w:val="244061" w:themeColor="accent1" w:themeShade="80"/>
          <w:sz w:val="20"/>
        </w:rPr>
        <w:t>najveću dobit razdoblja</w:t>
      </w:r>
      <w:r>
        <w:rPr>
          <w:bCs/>
          <w:color w:val="244061" w:themeColor="accent1" w:themeShade="80"/>
          <w:sz w:val="20"/>
        </w:rPr>
        <w:t xml:space="preserve"> u iznosu od 147,9 milijuna kuna</w:t>
      </w:r>
      <w:r w:rsidRPr="004367D9">
        <w:rPr>
          <w:bCs/>
          <w:color w:val="244061" w:themeColor="accent1" w:themeShade="80"/>
          <w:sz w:val="20"/>
        </w:rPr>
        <w:t xml:space="preserve"> i </w:t>
      </w:r>
      <w:hyperlink r:id="rId15" w:history="1">
        <w:r w:rsidRPr="004367D9">
          <w:rPr>
            <w:rStyle w:val="Hiperveza"/>
            <w:rFonts w:cs="Arial"/>
            <w:sz w:val="20"/>
          </w:rPr>
          <w:t>STUDENAC</w:t>
        </w:r>
      </w:hyperlink>
      <w:r w:rsidR="004E493C">
        <w:rPr>
          <w:rStyle w:val="Hiperveza"/>
          <w:rFonts w:cs="Arial"/>
          <w:sz w:val="20"/>
        </w:rPr>
        <w:t xml:space="preserve"> TRGOVINA d.o.o.</w:t>
      </w:r>
      <w:r w:rsidR="004E493C" w:rsidRPr="004E493C">
        <w:rPr>
          <w:rStyle w:val="Hiperveza"/>
          <w:rFonts w:cs="Arial"/>
          <w:sz w:val="20"/>
          <w:vertAlign w:val="superscript"/>
        </w:rPr>
        <w:t>3</w:t>
      </w:r>
      <w:r w:rsidR="004E493C">
        <w:rPr>
          <w:rStyle w:val="Hiperveza"/>
          <w:rFonts w:cs="Arial"/>
          <w:sz w:val="20"/>
        </w:rPr>
        <w:t xml:space="preserve">, </w:t>
      </w:r>
      <w:r>
        <w:rPr>
          <w:bCs/>
          <w:color w:val="244061" w:themeColor="accent1" w:themeShade="80"/>
          <w:sz w:val="20"/>
        </w:rPr>
        <w:t xml:space="preserve">s 2.581 zaposlenih </w:t>
      </w:r>
      <w:r w:rsidR="004E493C">
        <w:rPr>
          <w:bCs/>
          <w:color w:val="244061" w:themeColor="accent1" w:themeShade="80"/>
          <w:sz w:val="20"/>
        </w:rPr>
        <w:t xml:space="preserve">koji su </w:t>
      </w:r>
      <w:r>
        <w:rPr>
          <w:bCs/>
          <w:color w:val="244061" w:themeColor="accent1" w:themeShade="80"/>
          <w:sz w:val="20"/>
        </w:rPr>
        <w:t>ostvari</w:t>
      </w:r>
      <w:r w:rsidR="004E493C">
        <w:rPr>
          <w:bCs/>
          <w:color w:val="244061" w:themeColor="accent1" w:themeShade="80"/>
          <w:sz w:val="20"/>
        </w:rPr>
        <w:t>li</w:t>
      </w:r>
      <w:r>
        <w:rPr>
          <w:bCs/>
          <w:color w:val="244061" w:themeColor="accent1" w:themeShade="80"/>
          <w:sz w:val="20"/>
        </w:rPr>
        <w:t xml:space="preserve"> ukupan prihod u iznosu od </w:t>
      </w:r>
      <w:r w:rsidRPr="004367D9">
        <w:rPr>
          <w:bCs/>
          <w:color w:val="244061" w:themeColor="accent1" w:themeShade="80"/>
          <w:sz w:val="20"/>
        </w:rPr>
        <w:t>1,</w:t>
      </w:r>
      <w:r>
        <w:rPr>
          <w:bCs/>
          <w:color w:val="244061" w:themeColor="accent1" w:themeShade="80"/>
          <w:sz w:val="20"/>
        </w:rPr>
        <w:t>7</w:t>
      </w:r>
      <w:r w:rsidRPr="004367D9">
        <w:rPr>
          <w:bCs/>
          <w:color w:val="244061" w:themeColor="accent1" w:themeShade="80"/>
          <w:sz w:val="20"/>
        </w:rPr>
        <w:t xml:space="preserve"> milijardi kuna</w:t>
      </w:r>
      <w:r>
        <w:rPr>
          <w:bCs/>
          <w:color w:val="244061" w:themeColor="accent1" w:themeShade="80"/>
          <w:sz w:val="20"/>
        </w:rPr>
        <w:t>.</w:t>
      </w:r>
    </w:p>
    <w:p w:rsidR="00E65163" w:rsidRPr="00E10A67" w:rsidRDefault="00E65163" w:rsidP="00A218D6">
      <w:pPr>
        <w:widowControl w:val="0"/>
        <w:tabs>
          <w:tab w:val="left" w:pos="567"/>
          <w:tab w:val="left" w:pos="7797"/>
        </w:tabs>
        <w:ind w:left="1134" w:hanging="1134"/>
        <w:jc w:val="left"/>
        <w:rPr>
          <w:rFonts w:eastAsia="Calibri" w:cs="Arial"/>
          <w:b/>
          <w:color w:val="244061"/>
          <w:sz w:val="19"/>
          <w:szCs w:val="19"/>
          <w:lang w:eastAsia="en-US"/>
        </w:rPr>
      </w:pPr>
      <w:r w:rsidRPr="00165A36">
        <w:rPr>
          <w:rFonts w:eastAsia="Calibri" w:cs="Arial"/>
          <w:b/>
          <w:color w:val="17365D"/>
          <w:sz w:val="18"/>
          <w:szCs w:val="18"/>
          <w:lang w:eastAsia="en-US"/>
        </w:rPr>
        <w:t xml:space="preserve">Tablica </w:t>
      </w:r>
      <w:r w:rsidR="00B21176" w:rsidRPr="00165A36">
        <w:rPr>
          <w:rFonts w:eastAsia="Calibri" w:cs="Arial"/>
          <w:b/>
          <w:color w:val="17365D"/>
          <w:sz w:val="18"/>
          <w:szCs w:val="18"/>
          <w:lang w:eastAsia="en-US"/>
        </w:rPr>
        <w:t>4</w:t>
      </w:r>
      <w:r w:rsidRPr="00165A36">
        <w:rPr>
          <w:rFonts w:eastAsia="Calibri" w:cs="Arial"/>
          <w:b/>
          <w:color w:val="17365D"/>
          <w:sz w:val="18"/>
          <w:szCs w:val="18"/>
          <w:lang w:eastAsia="en-US"/>
        </w:rPr>
        <w:t>.</w:t>
      </w:r>
      <w:r w:rsidRPr="00165A36">
        <w:rPr>
          <w:rFonts w:eastAsia="Calibri" w:cs="Arial"/>
          <w:b/>
          <w:color w:val="17365D"/>
          <w:sz w:val="18"/>
          <w:szCs w:val="18"/>
          <w:lang w:eastAsia="en-US"/>
        </w:rPr>
        <w:tab/>
        <w:t>T</w:t>
      </w:r>
      <w:r w:rsidR="003E42C5" w:rsidRPr="00165A36">
        <w:rPr>
          <w:rFonts w:eastAsia="Calibri" w:cs="Arial"/>
          <w:b/>
          <w:color w:val="17365D"/>
          <w:sz w:val="18"/>
          <w:szCs w:val="18"/>
          <w:lang w:eastAsia="en-US"/>
        </w:rPr>
        <w:t>OP</w:t>
      </w:r>
      <w:r w:rsidRPr="00165A36">
        <w:rPr>
          <w:rFonts w:eastAsia="Calibri" w:cs="Arial"/>
          <w:b/>
          <w:color w:val="17365D"/>
          <w:sz w:val="18"/>
          <w:szCs w:val="18"/>
          <w:lang w:eastAsia="en-US"/>
        </w:rPr>
        <w:t xml:space="preserve"> 10 - </w:t>
      </w:r>
      <w:r w:rsidR="00BC332B" w:rsidRPr="00165A36">
        <w:rPr>
          <w:rFonts w:eastAsia="Calibri" w:cs="Arial"/>
          <w:b/>
          <w:color w:val="17365D"/>
          <w:sz w:val="18"/>
          <w:szCs w:val="18"/>
          <w:lang w:eastAsia="en-US"/>
        </w:rPr>
        <w:t>r</w:t>
      </w:r>
      <w:r w:rsidRPr="00165A36">
        <w:rPr>
          <w:rFonts w:eastAsia="Calibri" w:cs="Arial"/>
          <w:b/>
          <w:color w:val="244061"/>
          <w:sz w:val="18"/>
          <w:szCs w:val="18"/>
          <w:lang w:eastAsia="en-US"/>
        </w:rPr>
        <w:t xml:space="preserve">ang lista poduzetnika </w:t>
      </w:r>
      <w:r w:rsidRPr="000C57CA">
        <w:rPr>
          <w:rFonts w:eastAsia="Calibri" w:cs="Arial"/>
          <w:b/>
          <w:color w:val="244061"/>
          <w:sz w:val="18"/>
          <w:szCs w:val="18"/>
          <w:u w:val="single"/>
          <w:lang w:eastAsia="en-US"/>
        </w:rPr>
        <w:t xml:space="preserve">prema </w:t>
      </w:r>
      <w:r w:rsidR="00E10A67" w:rsidRPr="000C57CA">
        <w:rPr>
          <w:rFonts w:eastAsia="Calibri" w:cs="Arial"/>
          <w:b/>
          <w:color w:val="244061"/>
          <w:sz w:val="18"/>
          <w:szCs w:val="18"/>
          <w:u w:val="single"/>
          <w:lang w:eastAsia="en-US"/>
        </w:rPr>
        <w:t>dobiti razdoblja</w:t>
      </w:r>
      <w:r w:rsidRPr="00165A36">
        <w:rPr>
          <w:rFonts w:eastAsia="Calibri" w:cs="Arial"/>
          <w:b/>
          <w:color w:val="244061"/>
          <w:sz w:val="18"/>
          <w:szCs w:val="18"/>
          <w:lang w:eastAsia="en-US"/>
        </w:rPr>
        <w:t xml:space="preserve"> na razini Urbane aglomeracije </w:t>
      </w:r>
      <w:r w:rsidR="00FC7957" w:rsidRPr="00165A36">
        <w:rPr>
          <w:rFonts w:eastAsia="Calibri" w:cs="Arial"/>
          <w:b/>
          <w:color w:val="244061"/>
          <w:sz w:val="18"/>
          <w:szCs w:val="18"/>
          <w:lang w:eastAsia="en-US"/>
        </w:rPr>
        <w:t>Split</w:t>
      </w:r>
      <w:r w:rsidRPr="00165A36">
        <w:rPr>
          <w:rFonts w:eastAsia="Calibri" w:cs="Arial"/>
          <w:b/>
          <w:color w:val="244061"/>
          <w:sz w:val="18"/>
          <w:szCs w:val="18"/>
          <w:lang w:eastAsia="en-US"/>
        </w:rPr>
        <w:t xml:space="preserve"> u 201</w:t>
      </w:r>
      <w:r w:rsidR="002D009C">
        <w:rPr>
          <w:rFonts w:eastAsia="Calibri" w:cs="Arial"/>
          <w:b/>
          <w:color w:val="244061"/>
          <w:sz w:val="18"/>
          <w:szCs w:val="18"/>
          <w:lang w:eastAsia="en-US"/>
        </w:rPr>
        <w:t>7</w:t>
      </w:r>
      <w:r w:rsidRPr="00165A36">
        <w:rPr>
          <w:rFonts w:eastAsia="Calibri" w:cs="Arial"/>
          <w:b/>
          <w:color w:val="244061"/>
          <w:sz w:val="18"/>
          <w:szCs w:val="18"/>
          <w:lang w:eastAsia="en-US"/>
        </w:rPr>
        <w:t xml:space="preserve">. </w:t>
      </w:r>
      <w:r w:rsidR="00BC332B" w:rsidRPr="00165A36">
        <w:rPr>
          <w:rFonts w:eastAsia="Calibri" w:cs="Arial"/>
          <w:b/>
          <w:color w:val="244061"/>
          <w:sz w:val="18"/>
          <w:szCs w:val="18"/>
          <w:lang w:eastAsia="en-US"/>
        </w:rPr>
        <w:t>g.</w:t>
      </w:r>
      <w:r w:rsidR="00E10A67">
        <w:rPr>
          <w:rFonts w:eastAsia="Calibri" w:cs="Arial"/>
          <w:b/>
          <w:color w:val="244061"/>
          <w:sz w:val="19"/>
          <w:szCs w:val="19"/>
          <w:lang w:eastAsia="en-US"/>
        </w:rPr>
        <w:tab/>
      </w:r>
      <w:r w:rsidRPr="00A77A2F">
        <w:rPr>
          <w:rFonts w:eastAsia="Calibri" w:cs="Arial"/>
          <w:color w:val="244061"/>
          <w:sz w:val="16"/>
          <w:szCs w:val="18"/>
          <w:lang w:eastAsia="en-US"/>
        </w:rPr>
        <w:t>(iznosi u tisućama kuna)</w:t>
      </w:r>
    </w:p>
    <w:tbl>
      <w:tblPr>
        <w:tblW w:w="9837" w:type="dxa"/>
        <w:jc w:val="center"/>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tblBorders>
        <w:tblLayout w:type="fixed"/>
        <w:tblCellMar>
          <w:top w:w="28" w:type="dxa"/>
          <w:left w:w="57" w:type="dxa"/>
          <w:bottom w:w="28" w:type="dxa"/>
          <w:right w:w="57" w:type="dxa"/>
        </w:tblCellMar>
        <w:tblLook w:val="04A0" w:firstRow="1" w:lastRow="0" w:firstColumn="1" w:lastColumn="0" w:noHBand="0" w:noVBand="1"/>
      </w:tblPr>
      <w:tblGrid>
        <w:gridCol w:w="509"/>
        <w:gridCol w:w="1247"/>
        <w:gridCol w:w="3628"/>
        <w:gridCol w:w="1249"/>
        <w:gridCol w:w="992"/>
        <w:gridCol w:w="1134"/>
        <w:gridCol w:w="1078"/>
      </w:tblGrid>
      <w:tr w:rsidR="00B0422F" w:rsidRPr="00BC332B" w:rsidTr="00A218D6">
        <w:trPr>
          <w:trHeight w:val="340"/>
          <w:tblHeader/>
          <w:jc w:val="center"/>
        </w:trPr>
        <w:tc>
          <w:tcPr>
            <w:tcW w:w="509"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DB7945" w:rsidRDefault="00BC332B" w:rsidP="00DB7945">
            <w:pPr>
              <w:spacing w:before="0"/>
              <w:jc w:val="center"/>
              <w:rPr>
                <w:rFonts w:cs="Arial"/>
                <w:bCs/>
                <w:color w:val="FFFFFF" w:themeColor="background1"/>
                <w:sz w:val="16"/>
                <w:szCs w:val="16"/>
              </w:rPr>
            </w:pPr>
            <w:r w:rsidRPr="00DB7945">
              <w:rPr>
                <w:rFonts w:eastAsia="Calibri" w:cs="Arial"/>
                <w:color w:val="FFFFFF" w:themeColor="background1"/>
                <w:sz w:val="16"/>
                <w:szCs w:val="16"/>
                <w:lang w:eastAsia="en-US"/>
              </w:rPr>
              <w:t>R</w:t>
            </w:r>
            <w:r w:rsidR="00DB7945" w:rsidRPr="00DB7945">
              <w:rPr>
                <w:rFonts w:eastAsia="Calibri" w:cs="Arial"/>
                <w:color w:val="FFFFFF" w:themeColor="background1"/>
                <w:sz w:val="16"/>
                <w:szCs w:val="16"/>
                <w:lang w:eastAsia="en-US"/>
              </w:rPr>
              <w:t>ang</w:t>
            </w:r>
          </w:p>
        </w:tc>
        <w:tc>
          <w:tcPr>
            <w:tcW w:w="1247"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BC332B" w:rsidRDefault="00E65163" w:rsidP="0069770C">
            <w:pPr>
              <w:spacing w:before="0"/>
              <w:jc w:val="center"/>
              <w:rPr>
                <w:rFonts w:cs="Arial"/>
                <w:b/>
                <w:bCs/>
                <w:color w:val="FFFFFF" w:themeColor="background1"/>
                <w:sz w:val="16"/>
                <w:szCs w:val="16"/>
              </w:rPr>
            </w:pPr>
            <w:r w:rsidRPr="00BC332B">
              <w:rPr>
                <w:rFonts w:cs="Arial"/>
                <w:b/>
                <w:bCs/>
                <w:color w:val="FFFFFF" w:themeColor="background1"/>
                <w:sz w:val="16"/>
                <w:szCs w:val="16"/>
              </w:rPr>
              <w:t>OIB</w:t>
            </w:r>
          </w:p>
        </w:tc>
        <w:tc>
          <w:tcPr>
            <w:tcW w:w="3628"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A77A2F" w:rsidRDefault="00E65163" w:rsidP="0069770C">
            <w:pPr>
              <w:spacing w:before="0"/>
              <w:jc w:val="center"/>
              <w:rPr>
                <w:rFonts w:cs="Arial"/>
                <w:b/>
                <w:bCs/>
                <w:color w:val="FFFFFF"/>
                <w:sz w:val="16"/>
                <w:szCs w:val="16"/>
              </w:rPr>
            </w:pPr>
            <w:r w:rsidRPr="00A77A2F">
              <w:rPr>
                <w:rFonts w:cs="Arial"/>
                <w:b/>
                <w:bCs/>
                <w:color w:val="FFFFFF"/>
                <w:sz w:val="16"/>
                <w:szCs w:val="16"/>
              </w:rPr>
              <w:t>Naziv</w:t>
            </w:r>
          </w:p>
        </w:tc>
        <w:tc>
          <w:tcPr>
            <w:tcW w:w="1249"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A77A2F" w:rsidRDefault="00DB7945" w:rsidP="0069770C">
            <w:pPr>
              <w:spacing w:before="0"/>
              <w:jc w:val="center"/>
              <w:rPr>
                <w:rFonts w:cs="Arial"/>
                <w:b/>
                <w:bCs/>
                <w:color w:val="FFFFFF"/>
                <w:sz w:val="16"/>
                <w:szCs w:val="16"/>
              </w:rPr>
            </w:pPr>
            <w:r>
              <w:rPr>
                <w:rFonts w:cs="Arial"/>
                <w:b/>
                <w:bCs/>
                <w:color w:val="FFFFFF"/>
                <w:sz w:val="16"/>
                <w:szCs w:val="16"/>
              </w:rPr>
              <w:t>Sjedište</w:t>
            </w:r>
          </w:p>
        </w:tc>
        <w:tc>
          <w:tcPr>
            <w:tcW w:w="992"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A77A2F" w:rsidRDefault="00E65163" w:rsidP="0069770C">
            <w:pPr>
              <w:spacing w:before="0"/>
              <w:jc w:val="center"/>
              <w:rPr>
                <w:rFonts w:cs="Arial"/>
                <w:b/>
                <w:bCs/>
                <w:color w:val="FFFFFF"/>
                <w:sz w:val="16"/>
                <w:szCs w:val="16"/>
              </w:rPr>
            </w:pPr>
            <w:r w:rsidRPr="00A77A2F">
              <w:rPr>
                <w:rFonts w:cs="Arial"/>
                <w:b/>
                <w:bCs/>
                <w:color w:val="FFFFFF"/>
                <w:sz w:val="16"/>
                <w:szCs w:val="16"/>
              </w:rPr>
              <w:t>Broj zaposlenih</w:t>
            </w:r>
          </w:p>
        </w:tc>
        <w:tc>
          <w:tcPr>
            <w:tcW w:w="1134"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A77A2F" w:rsidRDefault="00E65163" w:rsidP="0069770C">
            <w:pPr>
              <w:spacing w:before="0"/>
              <w:jc w:val="center"/>
              <w:rPr>
                <w:rFonts w:cs="Arial"/>
                <w:b/>
                <w:bCs/>
                <w:color w:val="FFFFFF"/>
                <w:sz w:val="16"/>
                <w:szCs w:val="16"/>
              </w:rPr>
            </w:pPr>
            <w:r w:rsidRPr="00A77A2F">
              <w:rPr>
                <w:rFonts w:cs="Arial"/>
                <w:b/>
                <w:bCs/>
                <w:color w:val="FFFFFF"/>
                <w:sz w:val="16"/>
                <w:szCs w:val="16"/>
              </w:rPr>
              <w:t>Ukupni prihod</w:t>
            </w:r>
          </w:p>
        </w:tc>
        <w:tc>
          <w:tcPr>
            <w:tcW w:w="1078" w:type="dxa"/>
            <w:tcBorders>
              <w:top w:val="single" w:sz="2" w:space="0" w:color="FFFFFF" w:themeColor="background1"/>
              <w:left w:val="single" w:sz="2" w:space="0" w:color="FFFFFF" w:themeColor="background1"/>
              <w:bottom w:val="single" w:sz="4" w:space="0" w:color="000099"/>
              <w:right w:val="single" w:sz="2" w:space="0" w:color="FFFFFF" w:themeColor="background1"/>
            </w:tcBorders>
            <w:shd w:val="clear" w:color="auto" w:fill="244061" w:themeFill="accent1" w:themeFillShade="80"/>
            <w:vAlign w:val="center"/>
            <w:hideMark/>
          </w:tcPr>
          <w:p w:rsidR="00E65163" w:rsidRPr="00A77A2F" w:rsidRDefault="00E65163" w:rsidP="0069770C">
            <w:pPr>
              <w:spacing w:before="0"/>
              <w:jc w:val="center"/>
              <w:rPr>
                <w:rFonts w:cs="Arial"/>
                <w:b/>
                <w:bCs/>
                <w:color w:val="FFFFFF"/>
                <w:sz w:val="16"/>
                <w:szCs w:val="16"/>
              </w:rPr>
            </w:pPr>
            <w:r w:rsidRPr="00A77A2F">
              <w:rPr>
                <w:rFonts w:cs="Arial"/>
                <w:b/>
                <w:bCs/>
                <w:color w:val="FFFFFF"/>
                <w:sz w:val="16"/>
                <w:szCs w:val="16"/>
              </w:rPr>
              <w:t>Dobit razdoblja</w:t>
            </w:r>
          </w:p>
        </w:tc>
      </w:tr>
      <w:tr w:rsidR="002F5B51" w:rsidRPr="00BC332B" w:rsidTr="00DB7945">
        <w:trPr>
          <w:jc w:val="center"/>
        </w:trPr>
        <w:tc>
          <w:tcPr>
            <w:tcW w:w="509" w:type="dxa"/>
            <w:tcBorders>
              <w:top w:val="single" w:sz="4" w:space="0" w:color="000099"/>
              <w:left w:val="single" w:sz="4" w:space="0" w:color="000099"/>
              <w:bottom w:val="single" w:sz="4" w:space="0" w:color="000099"/>
              <w:right w:val="single" w:sz="4" w:space="0" w:color="FFFFFF" w:themeColor="background1"/>
            </w:tcBorders>
            <w:shd w:val="clear" w:color="auto" w:fill="DBE5F1" w:themeFill="accent1" w:themeFillTint="33"/>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w:t>
            </w:r>
          </w:p>
        </w:tc>
        <w:tc>
          <w:tcPr>
            <w:tcW w:w="1247" w:type="dxa"/>
            <w:tcBorders>
              <w:top w:val="single" w:sz="4" w:space="0" w:color="000099"/>
              <w:left w:val="single" w:sz="4" w:space="0" w:color="FFFFFF" w:themeColor="background1"/>
              <w:bottom w:val="single" w:sz="4" w:space="0" w:color="000099"/>
              <w:right w:val="single" w:sz="4" w:space="0" w:color="FFFFFF" w:themeColor="background1"/>
            </w:tcBorders>
            <w:shd w:val="clear" w:color="auto" w:fill="DBE5F1" w:themeFill="accent1" w:themeFillTint="33"/>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00278260010</w:t>
            </w:r>
          </w:p>
        </w:tc>
        <w:tc>
          <w:tcPr>
            <w:tcW w:w="3628" w:type="dxa"/>
            <w:tcBorders>
              <w:top w:val="single" w:sz="4" w:space="0" w:color="000099"/>
              <w:left w:val="single" w:sz="4" w:space="0" w:color="FFFFFF" w:themeColor="background1"/>
              <w:bottom w:val="single" w:sz="4" w:space="0" w:color="000099"/>
              <w:right w:val="single" w:sz="4" w:space="0" w:color="FFFFFF" w:themeColor="background1"/>
            </w:tcBorders>
            <w:shd w:val="clear" w:color="auto" w:fill="DBE5F1" w:themeFill="accent1" w:themeFillTint="33"/>
            <w:noWrap/>
            <w:vAlign w:val="center"/>
          </w:tcPr>
          <w:p w:rsidR="002F5B51" w:rsidRPr="00DB7945" w:rsidRDefault="007B4C9B" w:rsidP="0069770C">
            <w:pPr>
              <w:spacing w:before="0"/>
              <w:jc w:val="left"/>
              <w:rPr>
                <w:rFonts w:cs="Arial"/>
                <w:color w:val="244061" w:themeColor="accent1" w:themeShade="80"/>
                <w:sz w:val="18"/>
                <w:szCs w:val="18"/>
              </w:rPr>
            </w:pPr>
            <w:hyperlink r:id="rId16" w:history="1">
              <w:r w:rsidR="002F5B51" w:rsidRPr="00DB7945">
                <w:rPr>
                  <w:rStyle w:val="Hiperveza"/>
                  <w:rFonts w:cs="Arial"/>
                  <w:sz w:val="18"/>
                  <w:szCs w:val="18"/>
                </w:rPr>
                <w:t>TOMMY d.o.o.</w:t>
              </w:r>
            </w:hyperlink>
          </w:p>
        </w:tc>
        <w:tc>
          <w:tcPr>
            <w:tcW w:w="1249" w:type="dxa"/>
            <w:tcBorders>
              <w:top w:val="single" w:sz="4" w:space="0" w:color="000099"/>
              <w:left w:val="single" w:sz="4" w:space="0" w:color="FFFFFF" w:themeColor="background1"/>
              <w:bottom w:val="single" w:sz="4" w:space="0" w:color="000099"/>
              <w:right w:val="single" w:sz="4" w:space="0" w:color="FFFFFF" w:themeColor="background1"/>
            </w:tcBorders>
            <w:shd w:val="clear" w:color="auto" w:fill="DBE5F1" w:themeFill="accent1" w:themeFillTint="33"/>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Split</w:t>
            </w:r>
          </w:p>
        </w:tc>
        <w:tc>
          <w:tcPr>
            <w:tcW w:w="992" w:type="dxa"/>
            <w:tcBorders>
              <w:top w:val="single" w:sz="4" w:space="0" w:color="000099"/>
              <w:left w:val="single" w:sz="4" w:space="0" w:color="FFFFFF" w:themeColor="background1"/>
              <w:bottom w:val="single" w:sz="4" w:space="0" w:color="000099"/>
              <w:right w:val="single" w:sz="4" w:space="0" w:color="FFFFFF" w:themeColor="background1"/>
            </w:tcBorders>
            <w:shd w:val="clear" w:color="auto" w:fill="DBE5F1" w:themeFill="accent1" w:themeFillTint="33"/>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2.708</w:t>
            </w:r>
          </w:p>
        </w:tc>
        <w:tc>
          <w:tcPr>
            <w:tcW w:w="1134" w:type="dxa"/>
            <w:tcBorders>
              <w:top w:val="single" w:sz="4" w:space="0" w:color="000099"/>
              <w:left w:val="single" w:sz="4" w:space="0" w:color="FFFFFF" w:themeColor="background1"/>
              <w:bottom w:val="single" w:sz="4" w:space="0" w:color="000099"/>
              <w:right w:val="single" w:sz="4" w:space="0" w:color="FFFFFF" w:themeColor="background1"/>
            </w:tcBorders>
            <w:shd w:val="clear" w:color="auto" w:fill="DBE5F1" w:themeFill="accent1" w:themeFillTint="33"/>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2.700.435</w:t>
            </w:r>
          </w:p>
        </w:tc>
        <w:tc>
          <w:tcPr>
            <w:tcW w:w="1078" w:type="dxa"/>
            <w:tcBorders>
              <w:top w:val="single" w:sz="4" w:space="0" w:color="000099"/>
              <w:left w:val="single" w:sz="4" w:space="0" w:color="FFFFFF" w:themeColor="background1"/>
              <w:bottom w:val="single" w:sz="4" w:space="0" w:color="000099"/>
              <w:right w:val="single" w:sz="4" w:space="0" w:color="000099"/>
            </w:tcBorders>
            <w:shd w:val="clear" w:color="auto" w:fill="DBE5F1" w:themeFill="accent1" w:themeFillTint="33"/>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147.855</w:t>
            </w:r>
          </w:p>
        </w:tc>
      </w:tr>
      <w:tr w:rsidR="002F5B51" w:rsidRPr="00BC332B" w:rsidTr="00DB7945">
        <w:trPr>
          <w:jc w:val="center"/>
        </w:trPr>
        <w:tc>
          <w:tcPr>
            <w:tcW w:w="509"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w:t>
            </w:r>
          </w:p>
        </w:tc>
        <w:tc>
          <w:tcPr>
            <w:tcW w:w="1247"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83462362655</w:t>
            </w:r>
          </w:p>
        </w:tc>
        <w:tc>
          <w:tcPr>
            <w:tcW w:w="3628"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2F5B51" w:rsidRDefault="007B4C9B" w:rsidP="0069770C">
            <w:pPr>
              <w:spacing w:before="0"/>
              <w:jc w:val="left"/>
              <w:rPr>
                <w:rFonts w:cs="Arial"/>
                <w:color w:val="244061" w:themeColor="accent1" w:themeShade="80"/>
                <w:sz w:val="18"/>
                <w:szCs w:val="18"/>
              </w:rPr>
            </w:pPr>
            <w:hyperlink r:id="rId17" w:history="1">
              <w:r w:rsidR="002F5B51" w:rsidRPr="0005510B">
                <w:rPr>
                  <w:rStyle w:val="Hiperveza"/>
                  <w:rFonts w:cs="Arial"/>
                  <w:sz w:val="18"/>
                  <w:szCs w:val="18"/>
                </w:rPr>
                <w:t>ZRAČNA LUKA SPLIT d.o.o.</w:t>
              </w:r>
            </w:hyperlink>
          </w:p>
        </w:tc>
        <w:tc>
          <w:tcPr>
            <w:tcW w:w="1249"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Kaštel Štafilić</w:t>
            </w:r>
          </w:p>
        </w:tc>
        <w:tc>
          <w:tcPr>
            <w:tcW w:w="992" w:type="dxa"/>
            <w:tcBorders>
              <w:top w:val="single" w:sz="4" w:space="0" w:color="000099"/>
              <w:left w:val="single" w:sz="2" w:space="0" w:color="D9D9D9" w:themeColor="background1" w:themeShade="D9"/>
              <w:bottom w:val="single" w:sz="2" w:space="0" w:color="D9D9D9" w:themeColor="background1" w:themeShade="D9"/>
              <w:right w:val="single" w:sz="8"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414</w:t>
            </w:r>
          </w:p>
        </w:tc>
        <w:tc>
          <w:tcPr>
            <w:tcW w:w="1134" w:type="dxa"/>
            <w:tcBorders>
              <w:top w:val="single" w:sz="4" w:space="0" w:color="000099"/>
              <w:left w:val="single" w:sz="8" w:space="0" w:color="D9D9D9" w:themeColor="background1" w:themeShade="D9"/>
              <w:bottom w:val="single" w:sz="8" w:space="0" w:color="D9D9D9" w:themeColor="background1" w:themeShade="D9"/>
              <w:right w:val="single" w:sz="6"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370.915</w:t>
            </w:r>
          </w:p>
        </w:tc>
        <w:tc>
          <w:tcPr>
            <w:tcW w:w="1078" w:type="dxa"/>
            <w:tcBorders>
              <w:top w:val="single" w:sz="4" w:space="0" w:color="000099"/>
              <w:left w:val="single" w:sz="6" w:space="0" w:color="D9D9D9" w:themeColor="background1" w:themeShade="D9"/>
              <w:bottom w:val="single" w:sz="8" w:space="0" w:color="D9D9D9" w:themeColor="background1" w:themeShade="D9"/>
              <w:right w:val="single" w:sz="8"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117.909</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92265244213</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2F5B51" w:rsidRDefault="007B4C9B" w:rsidP="0069770C">
            <w:pPr>
              <w:spacing w:before="0"/>
              <w:jc w:val="left"/>
              <w:rPr>
                <w:rFonts w:cs="Arial"/>
                <w:color w:val="244061" w:themeColor="accent1" w:themeShade="80"/>
                <w:sz w:val="18"/>
                <w:szCs w:val="18"/>
              </w:rPr>
            </w:pPr>
            <w:hyperlink r:id="rId18" w:history="1">
              <w:r w:rsidR="002F5B51" w:rsidRPr="0005510B">
                <w:rPr>
                  <w:rStyle w:val="Hiperveza"/>
                  <w:rFonts w:cs="Arial"/>
                  <w:sz w:val="18"/>
                  <w:szCs w:val="18"/>
                </w:rPr>
                <w:t>HATTRICK-PSK d.o.o.</w:t>
              </w:r>
            </w:hyperlink>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Dugopolje</w:t>
            </w:r>
          </w:p>
        </w:tc>
        <w:tc>
          <w:tcPr>
            <w:tcW w:w="992" w:type="dxa"/>
            <w:tcBorders>
              <w:top w:val="single" w:sz="2" w:space="0" w:color="D9D9D9" w:themeColor="background1" w:themeShade="D9"/>
              <w:left w:val="single" w:sz="2" w:space="0" w:color="D9D9D9" w:themeColor="background1" w:themeShade="D9"/>
              <w:bottom w:val="single" w:sz="4" w:space="0" w:color="00009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753</w:t>
            </w:r>
          </w:p>
        </w:tc>
        <w:tc>
          <w:tcPr>
            <w:tcW w:w="1134" w:type="dxa"/>
            <w:tcBorders>
              <w:top w:val="single" w:sz="8" w:space="0" w:color="D9D9D9" w:themeColor="background1" w:themeShade="D9"/>
              <w:left w:val="single" w:sz="2" w:space="0" w:color="D9D9D9" w:themeColor="background1" w:themeShade="D9"/>
              <w:bottom w:val="single" w:sz="4" w:space="0" w:color="00009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503.095</w:t>
            </w:r>
          </w:p>
        </w:tc>
        <w:tc>
          <w:tcPr>
            <w:tcW w:w="1078" w:type="dxa"/>
            <w:tcBorders>
              <w:top w:val="single" w:sz="8"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94.539</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33060874644</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2F5B51" w:rsidRDefault="007B4C9B" w:rsidP="0069770C">
            <w:pPr>
              <w:spacing w:before="0"/>
              <w:jc w:val="left"/>
              <w:rPr>
                <w:rFonts w:cs="Arial"/>
                <w:color w:val="244061" w:themeColor="accent1" w:themeShade="80"/>
                <w:sz w:val="18"/>
                <w:szCs w:val="18"/>
              </w:rPr>
            </w:pPr>
            <w:hyperlink r:id="rId19" w:history="1">
              <w:r w:rsidR="002F5B51" w:rsidRPr="0005510B">
                <w:rPr>
                  <w:rStyle w:val="Hiperveza"/>
                  <w:rFonts w:cs="Arial"/>
                  <w:sz w:val="18"/>
                  <w:szCs w:val="18"/>
                </w:rPr>
                <w:t>STUDENAC</w:t>
              </w:r>
            </w:hyperlink>
            <w:r w:rsidR="00A218D6">
              <w:rPr>
                <w:rStyle w:val="Hiperveza"/>
                <w:rFonts w:cs="Arial"/>
                <w:sz w:val="18"/>
                <w:szCs w:val="18"/>
              </w:rPr>
              <w:t xml:space="preserve"> TRGOVINA d.o.o.</w:t>
            </w:r>
            <w:r w:rsidR="00A218D6">
              <w:rPr>
                <w:rStyle w:val="Referencafusnote"/>
                <w:color w:val="0000FF"/>
                <w:sz w:val="18"/>
                <w:szCs w:val="18"/>
                <w:u w:val="single"/>
              </w:rPr>
              <w:footnoteReference w:id="3"/>
            </w:r>
            <w:r w:rsidR="004367D9">
              <w:rPr>
                <w:rFonts w:cs="Arial"/>
                <w:color w:val="244061" w:themeColor="accent1" w:themeShade="80"/>
                <w:sz w:val="18"/>
                <w:szCs w:val="18"/>
              </w:rPr>
              <w:t xml:space="preserve"> </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00009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Omiš</w:t>
            </w:r>
          </w:p>
        </w:tc>
        <w:tc>
          <w:tcPr>
            <w:tcW w:w="992" w:type="dxa"/>
            <w:tcBorders>
              <w:top w:val="single" w:sz="4" w:space="0" w:color="000099"/>
              <w:left w:val="single" w:sz="4" w:space="0" w:color="000099"/>
              <w:bottom w:val="single" w:sz="4" w:space="0" w:color="000099"/>
              <w:right w:val="single" w:sz="4" w:space="0" w:color="00009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2.581</w:t>
            </w:r>
          </w:p>
        </w:tc>
        <w:tc>
          <w:tcPr>
            <w:tcW w:w="1134" w:type="dxa"/>
            <w:tcBorders>
              <w:top w:val="single" w:sz="4" w:space="0" w:color="000099"/>
              <w:left w:val="single" w:sz="4" w:space="0" w:color="000099"/>
              <w:bottom w:val="single" w:sz="4" w:space="0" w:color="000099"/>
              <w:right w:val="single" w:sz="4" w:space="0" w:color="00009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1.657.304</w:t>
            </w:r>
          </w:p>
        </w:tc>
        <w:tc>
          <w:tcPr>
            <w:tcW w:w="1078" w:type="dxa"/>
            <w:tcBorders>
              <w:top w:val="single" w:sz="2" w:space="0" w:color="D9D9D9" w:themeColor="background1" w:themeShade="D9"/>
              <w:left w:val="single" w:sz="4" w:space="0" w:color="00009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86.786</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5.</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18556905592</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2F5B51" w:rsidRDefault="007B4C9B" w:rsidP="00A218D6">
            <w:pPr>
              <w:spacing w:before="0"/>
              <w:jc w:val="left"/>
              <w:rPr>
                <w:rFonts w:cs="Arial"/>
                <w:color w:val="244061" w:themeColor="accent1" w:themeShade="80"/>
                <w:sz w:val="18"/>
                <w:szCs w:val="18"/>
              </w:rPr>
            </w:pPr>
            <w:hyperlink r:id="rId20" w:history="1">
              <w:r w:rsidR="002F5B51" w:rsidRPr="0005510B">
                <w:rPr>
                  <w:rStyle w:val="Hiperveza"/>
                  <w:rFonts w:cs="Arial"/>
                  <w:sz w:val="18"/>
                  <w:szCs w:val="18"/>
                </w:rPr>
                <w:t>BRODOSPLIT d.d</w:t>
              </w:r>
            </w:hyperlink>
            <w:r w:rsidR="002F5B51" w:rsidRPr="002F5B51">
              <w:rPr>
                <w:rFonts w:cs="Arial"/>
                <w:color w:val="244061" w:themeColor="accent1" w:themeShade="80"/>
                <w:sz w:val="18"/>
                <w:szCs w:val="18"/>
              </w:rPr>
              <w:t>.</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Split</w:t>
            </w:r>
          </w:p>
        </w:tc>
        <w:tc>
          <w:tcPr>
            <w:tcW w:w="992"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DB7945">
            <w:pPr>
              <w:spacing w:before="0"/>
              <w:jc w:val="right"/>
              <w:rPr>
                <w:rFonts w:cs="Arial"/>
                <w:color w:val="244061" w:themeColor="accent1" w:themeShade="80"/>
                <w:sz w:val="18"/>
                <w:szCs w:val="18"/>
              </w:rPr>
            </w:pPr>
            <w:r w:rsidRPr="005C679A">
              <w:rPr>
                <w:rFonts w:cs="Arial"/>
                <w:color w:val="244061" w:themeColor="accent1" w:themeShade="80"/>
                <w:sz w:val="18"/>
                <w:szCs w:val="18"/>
              </w:rPr>
              <w:t>62</w:t>
            </w:r>
          </w:p>
        </w:tc>
        <w:tc>
          <w:tcPr>
            <w:tcW w:w="1134" w:type="dxa"/>
            <w:tcBorders>
              <w:top w:val="single" w:sz="4" w:space="0" w:color="00009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DB7945">
            <w:pPr>
              <w:spacing w:before="0"/>
              <w:jc w:val="right"/>
              <w:rPr>
                <w:rFonts w:cs="Arial"/>
                <w:color w:val="244061" w:themeColor="accent1" w:themeShade="80"/>
                <w:sz w:val="18"/>
                <w:szCs w:val="18"/>
              </w:rPr>
            </w:pPr>
            <w:r w:rsidRPr="005C679A">
              <w:rPr>
                <w:rFonts w:cs="Arial"/>
                <w:color w:val="244061" w:themeColor="accent1" w:themeShade="80"/>
                <w:sz w:val="18"/>
                <w:szCs w:val="18"/>
              </w:rPr>
              <w:t>648.040</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DB7945">
            <w:pPr>
              <w:spacing w:before="0"/>
              <w:jc w:val="right"/>
              <w:rPr>
                <w:rFonts w:cs="Arial"/>
                <w:color w:val="244061" w:themeColor="accent1" w:themeShade="80"/>
                <w:sz w:val="18"/>
                <w:szCs w:val="18"/>
              </w:rPr>
            </w:pPr>
            <w:r w:rsidRPr="005C679A">
              <w:rPr>
                <w:rFonts w:cs="Arial"/>
                <w:color w:val="244061" w:themeColor="accent1" w:themeShade="80"/>
                <w:sz w:val="18"/>
                <w:szCs w:val="18"/>
              </w:rPr>
              <w:t>70.457</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6.</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48351740621</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AD PLASTIK d.d.</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Solin</w:t>
            </w:r>
          </w:p>
        </w:tc>
        <w:tc>
          <w:tcPr>
            <w:tcW w:w="99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1.068</w:t>
            </w:r>
          </w:p>
        </w:tc>
        <w:tc>
          <w:tcPr>
            <w:tcW w:w="113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894.395</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53.399</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7.</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44441968689</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SUNSAIL ADRIATIC d.o.o.</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Split</w:t>
            </w:r>
          </w:p>
        </w:tc>
        <w:tc>
          <w:tcPr>
            <w:tcW w:w="99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31</w:t>
            </w:r>
          </w:p>
        </w:tc>
        <w:tc>
          <w:tcPr>
            <w:tcW w:w="113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78.253</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34.807</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8.</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76118645526</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INTERNATIONAL EVONA d.o.o.</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Stobreč</w:t>
            </w:r>
          </w:p>
        </w:tc>
        <w:tc>
          <w:tcPr>
            <w:tcW w:w="99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207</w:t>
            </w:r>
          </w:p>
        </w:tc>
        <w:tc>
          <w:tcPr>
            <w:tcW w:w="113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182.787</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30.140</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9.</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61395607720</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RIBOLA d.o.o.</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Kaštel Lukšić</w:t>
            </w:r>
          </w:p>
        </w:tc>
        <w:tc>
          <w:tcPr>
            <w:tcW w:w="99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497</w:t>
            </w:r>
          </w:p>
        </w:tc>
        <w:tc>
          <w:tcPr>
            <w:tcW w:w="113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474.285</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27.777</w:t>
            </w:r>
          </w:p>
        </w:tc>
      </w:tr>
      <w:tr w:rsidR="002F5B51" w:rsidRPr="00BC332B" w:rsidTr="00DB7945">
        <w:trPr>
          <w:jc w:val="center"/>
        </w:trPr>
        <w:tc>
          <w:tcPr>
            <w:tcW w:w="50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10.</w:t>
            </w:r>
          </w:p>
        </w:tc>
        <w:tc>
          <w:tcPr>
            <w:tcW w:w="124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color w:val="244061" w:themeColor="accent1" w:themeShade="80"/>
              </w:rPr>
            </w:pPr>
            <w:r w:rsidRPr="005C679A">
              <w:rPr>
                <w:rFonts w:cs="Arial"/>
                <w:color w:val="244061" w:themeColor="accent1" w:themeShade="80"/>
                <w:sz w:val="18"/>
                <w:szCs w:val="18"/>
              </w:rPr>
              <w:t>33956120458</w:t>
            </w:r>
          </w:p>
        </w:tc>
        <w:tc>
          <w:tcPr>
            <w:tcW w:w="362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A218D6">
            <w:pPr>
              <w:spacing w:before="0"/>
              <w:jc w:val="left"/>
              <w:rPr>
                <w:rFonts w:cs="Arial"/>
                <w:color w:val="244061" w:themeColor="accent1" w:themeShade="80"/>
                <w:sz w:val="18"/>
                <w:szCs w:val="18"/>
              </w:rPr>
            </w:pPr>
            <w:r w:rsidRPr="005C679A">
              <w:rPr>
                <w:rFonts w:cs="Arial"/>
                <w:color w:val="244061" w:themeColor="accent1" w:themeShade="80"/>
                <w:sz w:val="18"/>
                <w:szCs w:val="18"/>
              </w:rPr>
              <w:t>BRODOMERKUR d.d.</w:t>
            </w:r>
          </w:p>
        </w:tc>
        <w:tc>
          <w:tcPr>
            <w:tcW w:w="124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left"/>
              <w:rPr>
                <w:rFonts w:cs="Arial"/>
                <w:color w:val="244061" w:themeColor="accent1" w:themeShade="80"/>
                <w:sz w:val="18"/>
                <w:szCs w:val="18"/>
              </w:rPr>
            </w:pPr>
            <w:r w:rsidRPr="005C679A">
              <w:rPr>
                <w:rFonts w:cs="Arial"/>
                <w:color w:val="244061" w:themeColor="accent1" w:themeShade="80"/>
                <w:sz w:val="18"/>
                <w:szCs w:val="18"/>
              </w:rPr>
              <w:t>Split</w:t>
            </w:r>
          </w:p>
        </w:tc>
        <w:tc>
          <w:tcPr>
            <w:tcW w:w="99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265</w:t>
            </w:r>
          </w:p>
        </w:tc>
        <w:tc>
          <w:tcPr>
            <w:tcW w:w="113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378.880</w:t>
            </w:r>
          </w:p>
        </w:tc>
        <w:tc>
          <w:tcPr>
            <w:tcW w:w="107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bottom"/>
          </w:tcPr>
          <w:p w:rsidR="002F5B51" w:rsidRPr="005C679A" w:rsidRDefault="002F5B51" w:rsidP="0069770C">
            <w:pPr>
              <w:spacing w:before="0"/>
              <w:jc w:val="right"/>
              <w:rPr>
                <w:rFonts w:cs="Arial"/>
                <w:color w:val="244061" w:themeColor="accent1" w:themeShade="80"/>
                <w:sz w:val="18"/>
                <w:szCs w:val="18"/>
              </w:rPr>
            </w:pPr>
            <w:r w:rsidRPr="005C679A">
              <w:rPr>
                <w:rFonts w:cs="Arial"/>
                <w:color w:val="244061" w:themeColor="accent1" w:themeShade="80"/>
                <w:sz w:val="18"/>
                <w:szCs w:val="18"/>
              </w:rPr>
              <w:t>27.303</w:t>
            </w:r>
          </w:p>
        </w:tc>
      </w:tr>
      <w:tr w:rsidR="002F5B51" w:rsidRPr="00BC332B" w:rsidTr="005C679A">
        <w:trPr>
          <w:jc w:val="center"/>
        </w:trPr>
        <w:tc>
          <w:tcPr>
            <w:tcW w:w="6633"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center"/>
            <w:hideMark/>
          </w:tcPr>
          <w:p w:rsidR="002F5B51" w:rsidRPr="00A218D6" w:rsidRDefault="002F5B51" w:rsidP="0069770C">
            <w:pPr>
              <w:spacing w:before="0"/>
              <w:jc w:val="left"/>
              <w:rPr>
                <w:rFonts w:cs="Arial"/>
                <w:b/>
                <w:bCs/>
                <w:color w:val="244061" w:themeColor="accent1" w:themeShade="80"/>
                <w:sz w:val="18"/>
                <w:szCs w:val="18"/>
              </w:rPr>
            </w:pPr>
            <w:r w:rsidRPr="00A218D6">
              <w:rPr>
                <w:rFonts w:cs="Arial"/>
                <w:b/>
                <w:bCs/>
                <w:color w:val="244061" w:themeColor="accent1" w:themeShade="80"/>
                <w:sz w:val="18"/>
                <w:szCs w:val="18"/>
              </w:rPr>
              <w:t>Ukupno TOP 10 poduzetnika</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bottom"/>
          </w:tcPr>
          <w:p w:rsidR="002F5B51" w:rsidRPr="00A218D6" w:rsidRDefault="002F5B51"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8.586</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bottom"/>
          </w:tcPr>
          <w:p w:rsidR="002F5B51" w:rsidRPr="00A218D6" w:rsidRDefault="002F5B51"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7.888.389</w:t>
            </w:r>
          </w:p>
        </w:tc>
        <w:tc>
          <w:tcPr>
            <w:tcW w:w="10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8DBDB"/>
            <w:noWrap/>
            <w:vAlign w:val="bottom"/>
          </w:tcPr>
          <w:p w:rsidR="002F5B51" w:rsidRPr="00A218D6" w:rsidRDefault="002F5B51"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690.972</w:t>
            </w:r>
          </w:p>
        </w:tc>
      </w:tr>
      <w:tr w:rsidR="002F5B51" w:rsidRPr="00BC332B" w:rsidTr="005C679A">
        <w:trPr>
          <w:jc w:val="center"/>
        </w:trPr>
        <w:tc>
          <w:tcPr>
            <w:tcW w:w="6633"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center"/>
            <w:hideMark/>
          </w:tcPr>
          <w:p w:rsidR="002F5B51" w:rsidRPr="00A218D6" w:rsidRDefault="002F5B51" w:rsidP="0069770C">
            <w:pPr>
              <w:spacing w:before="0"/>
              <w:jc w:val="left"/>
              <w:rPr>
                <w:rFonts w:cs="Arial"/>
                <w:b/>
                <w:bCs/>
                <w:color w:val="244061" w:themeColor="accent1" w:themeShade="80"/>
                <w:sz w:val="18"/>
                <w:szCs w:val="18"/>
              </w:rPr>
            </w:pPr>
            <w:r w:rsidRPr="00A218D6">
              <w:rPr>
                <w:rFonts w:cs="Arial"/>
                <w:b/>
                <w:bCs/>
                <w:color w:val="244061" w:themeColor="accent1" w:themeShade="80"/>
                <w:sz w:val="18"/>
                <w:szCs w:val="18"/>
              </w:rPr>
              <w:t>Ukupno poduzetnici Urbane aglomeracije Split</w:t>
            </w:r>
          </w:p>
        </w:tc>
        <w:tc>
          <w:tcPr>
            <w:tcW w:w="99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bottom"/>
          </w:tcPr>
          <w:p w:rsidR="002F5B51" w:rsidRPr="00A218D6" w:rsidRDefault="00B066F7"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61.190</w:t>
            </w:r>
          </w:p>
        </w:tc>
        <w:tc>
          <w:tcPr>
            <w:tcW w:w="11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bottom"/>
          </w:tcPr>
          <w:p w:rsidR="002F5B51" w:rsidRPr="00A218D6" w:rsidRDefault="002F5B51"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38.161.163</w:t>
            </w:r>
          </w:p>
        </w:tc>
        <w:tc>
          <w:tcPr>
            <w:tcW w:w="10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FBFBF" w:themeFill="background1" w:themeFillShade="BF"/>
            <w:noWrap/>
            <w:vAlign w:val="bottom"/>
          </w:tcPr>
          <w:p w:rsidR="002F5B51" w:rsidRPr="00A218D6" w:rsidRDefault="002F5B51" w:rsidP="0069770C">
            <w:pPr>
              <w:spacing w:before="0"/>
              <w:jc w:val="right"/>
              <w:rPr>
                <w:rFonts w:cs="Arial"/>
                <w:b/>
                <w:bCs/>
                <w:color w:val="244061" w:themeColor="accent1" w:themeShade="80"/>
                <w:sz w:val="18"/>
                <w:szCs w:val="18"/>
              </w:rPr>
            </w:pPr>
            <w:r w:rsidRPr="00A218D6">
              <w:rPr>
                <w:rFonts w:cs="Arial"/>
                <w:b/>
                <w:bCs/>
                <w:color w:val="244061" w:themeColor="accent1" w:themeShade="80"/>
                <w:sz w:val="18"/>
                <w:szCs w:val="18"/>
              </w:rPr>
              <w:t>2.484.149</w:t>
            </w:r>
          </w:p>
        </w:tc>
      </w:tr>
    </w:tbl>
    <w:p w:rsidR="00E65163" w:rsidRDefault="00E65163" w:rsidP="00C56190">
      <w:pPr>
        <w:spacing w:before="40" w:line="276" w:lineRule="auto"/>
        <w:rPr>
          <w:bCs/>
          <w:i/>
          <w:color w:val="17365D"/>
          <w:sz w:val="16"/>
          <w:szCs w:val="18"/>
        </w:rPr>
      </w:pPr>
      <w:r w:rsidRPr="00A77A2F">
        <w:rPr>
          <w:bCs/>
          <w:i/>
          <w:color w:val="17365D"/>
          <w:sz w:val="16"/>
          <w:szCs w:val="18"/>
        </w:rPr>
        <w:t>Izvor: Fina, Registar godišnjih financijskih izvještaja, obrada GFI-a za 201</w:t>
      </w:r>
      <w:r w:rsidR="002D009C">
        <w:rPr>
          <w:bCs/>
          <w:i/>
          <w:color w:val="17365D"/>
          <w:sz w:val="16"/>
          <w:szCs w:val="18"/>
        </w:rPr>
        <w:t>7</w:t>
      </w:r>
      <w:r w:rsidRPr="00A77A2F">
        <w:rPr>
          <w:bCs/>
          <w:i/>
          <w:color w:val="17365D"/>
          <w:sz w:val="16"/>
          <w:szCs w:val="18"/>
        </w:rPr>
        <w:t>. godinu</w:t>
      </w:r>
    </w:p>
    <w:p w:rsidR="00AA30C7" w:rsidRDefault="00E65163" w:rsidP="00E61152">
      <w:pPr>
        <w:spacing w:line="276" w:lineRule="auto"/>
        <w:rPr>
          <w:bCs/>
          <w:color w:val="244061" w:themeColor="accent1" w:themeShade="80"/>
          <w:sz w:val="20"/>
        </w:rPr>
      </w:pPr>
      <w:r w:rsidRPr="00E61152">
        <w:rPr>
          <w:b/>
          <w:bCs/>
          <w:color w:val="244061" w:themeColor="accent1" w:themeShade="80"/>
          <w:sz w:val="20"/>
        </w:rPr>
        <w:t>Prema produktivnosti</w:t>
      </w:r>
      <w:r w:rsidRPr="00C75A99">
        <w:rPr>
          <w:bCs/>
          <w:color w:val="244061" w:themeColor="accent1" w:themeShade="80"/>
          <w:sz w:val="20"/>
        </w:rPr>
        <w:t xml:space="preserve"> (prihodu po zaposlenom), prv</w:t>
      </w:r>
      <w:r w:rsidR="00B04BFA" w:rsidRPr="00C75A99">
        <w:rPr>
          <w:bCs/>
          <w:color w:val="244061" w:themeColor="accent1" w:themeShade="80"/>
          <w:sz w:val="20"/>
        </w:rPr>
        <w:t>i</w:t>
      </w:r>
      <w:r w:rsidRPr="00C75A99">
        <w:rPr>
          <w:bCs/>
          <w:color w:val="244061" w:themeColor="accent1" w:themeShade="80"/>
          <w:sz w:val="20"/>
        </w:rPr>
        <w:t xml:space="preserve"> su poduzetnici </w:t>
      </w:r>
      <w:r w:rsidR="00B04BFA" w:rsidRPr="00C75A99">
        <w:rPr>
          <w:bCs/>
          <w:color w:val="244061" w:themeColor="accent1" w:themeShade="80"/>
          <w:sz w:val="20"/>
        </w:rPr>
        <w:t xml:space="preserve">sa sjedištem u </w:t>
      </w:r>
      <w:r w:rsidR="00C75A99" w:rsidRPr="00C75A99">
        <w:rPr>
          <w:bCs/>
          <w:color w:val="244061" w:themeColor="accent1" w:themeShade="80"/>
          <w:sz w:val="20"/>
        </w:rPr>
        <w:t>općini Lećevica</w:t>
      </w:r>
      <w:r w:rsidRPr="00C75A99">
        <w:rPr>
          <w:bCs/>
          <w:color w:val="244061" w:themeColor="accent1" w:themeShade="80"/>
          <w:sz w:val="20"/>
        </w:rPr>
        <w:t xml:space="preserve">, s </w:t>
      </w:r>
      <w:r w:rsidR="00C75A99" w:rsidRPr="00C75A99">
        <w:rPr>
          <w:bCs/>
          <w:color w:val="244061" w:themeColor="accent1" w:themeShade="80"/>
          <w:sz w:val="20"/>
        </w:rPr>
        <w:t>1</w:t>
      </w:r>
      <w:r w:rsidR="00FF2034" w:rsidRPr="00C75A99">
        <w:rPr>
          <w:bCs/>
          <w:color w:val="244061" w:themeColor="accent1" w:themeShade="80"/>
          <w:sz w:val="20"/>
        </w:rPr>
        <w:t>,2</w:t>
      </w:r>
      <w:r w:rsidRPr="00C75A99">
        <w:rPr>
          <w:bCs/>
          <w:color w:val="244061" w:themeColor="accent1" w:themeShade="80"/>
          <w:sz w:val="20"/>
        </w:rPr>
        <w:t xml:space="preserve"> </w:t>
      </w:r>
      <w:r w:rsidR="00C75A99" w:rsidRPr="00C75A99">
        <w:rPr>
          <w:bCs/>
          <w:color w:val="244061" w:themeColor="accent1" w:themeShade="80"/>
          <w:sz w:val="20"/>
        </w:rPr>
        <w:t>milijun</w:t>
      </w:r>
      <w:r w:rsidR="004E493C">
        <w:rPr>
          <w:bCs/>
          <w:color w:val="244061" w:themeColor="accent1" w:themeShade="80"/>
          <w:sz w:val="20"/>
        </w:rPr>
        <w:t>a</w:t>
      </w:r>
      <w:r w:rsidRPr="00C75A99">
        <w:rPr>
          <w:bCs/>
          <w:color w:val="244061" w:themeColor="accent1" w:themeShade="80"/>
          <w:sz w:val="20"/>
        </w:rPr>
        <w:t xml:space="preserve"> kuna</w:t>
      </w:r>
      <w:r w:rsidR="00E61152">
        <w:rPr>
          <w:bCs/>
          <w:color w:val="244061" w:themeColor="accent1" w:themeShade="80"/>
          <w:sz w:val="20"/>
        </w:rPr>
        <w:t>,</w:t>
      </w:r>
      <w:r w:rsidR="004E493C">
        <w:rPr>
          <w:bCs/>
          <w:color w:val="244061" w:themeColor="accent1" w:themeShade="80"/>
          <w:sz w:val="20"/>
        </w:rPr>
        <w:t xml:space="preserve"> čemu je najviše doprinio </w:t>
      </w:r>
      <w:r w:rsidR="00C75A99" w:rsidRPr="00C75A99">
        <w:rPr>
          <w:bCs/>
          <w:color w:val="244061" w:themeColor="accent1" w:themeShade="80"/>
          <w:sz w:val="20"/>
        </w:rPr>
        <w:t>mikro poduzetnik</w:t>
      </w:r>
      <w:r w:rsidR="00D30534">
        <w:rPr>
          <w:bCs/>
          <w:color w:val="244061" w:themeColor="accent1" w:themeShade="80"/>
          <w:sz w:val="20"/>
        </w:rPr>
        <w:t xml:space="preserve"> </w:t>
      </w:r>
      <w:hyperlink r:id="rId21" w:history="1">
        <w:r w:rsidR="004E493C" w:rsidRPr="00C75A99">
          <w:rPr>
            <w:rStyle w:val="Hiperveza"/>
            <w:bCs/>
            <w:sz w:val="20"/>
          </w:rPr>
          <w:t>CABALLUS NET d.o.o</w:t>
        </w:r>
      </w:hyperlink>
      <w:r w:rsidR="004E493C" w:rsidRPr="00C75A99">
        <w:rPr>
          <w:bCs/>
          <w:color w:val="244061" w:themeColor="accent1" w:themeShade="80"/>
          <w:sz w:val="20"/>
        </w:rPr>
        <w:t>.</w:t>
      </w:r>
      <w:r w:rsidR="004E493C">
        <w:rPr>
          <w:bCs/>
          <w:color w:val="244061" w:themeColor="accent1" w:themeShade="80"/>
          <w:sz w:val="20"/>
        </w:rPr>
        <w:t xml:space="preserve"> </w:t>
      </w:r>
      <w:r w:rsidR="00D30534">
        <w:rPr>
          <w:bCs/>
          <w:color w:val="244061" w:themeColor="accent1" w:themeShade="80"/>
          <w:sz w:val="20"/>
        </w:rPr>
        <w:t>s četi</w:t>
      </w:r>
      <w:r w:rsidR="00161A30">
        <w:rPr>
          <w:bCs/>
          <w:color w:val="244061" w:themeColor="accent1" w:themeShade="80"/>
          <w:sz w:val="20"/>
        </w:rPr>
        <w:t>r</w:t>
      </w:r>
      <w:r w:rsidR="00D30534">
        <w:rPr>
          <w:bCs/>
          <w:color w:val="244061" w:themeColor="accent1" w:themeShade="80"/>
          <w:sz w:val="20"/>
        </w:rPr>
        <w:t>i zaposlena</w:t>
      </w:r>
      <w:r w:rsidR="004E493C">
        <w:rPr>
          <w:bCs/>
          <w:color w:val="244061" w:themeColor="accent1" w:themeShade="80"/>
          <w:sz w:val="20"/>
        </w:rPr>
        <w:t xml:space="preserve"> i </w:t>
      </w:r>
      <w:r w:rsidRPr="00C75A99">
        <w:rPr>
          <w:bCs/>
          <w:color w:val="244061" w:themeColor="accent1" w:themeShade="80"/>
          <w:sz w:val="20"/>
        </w:rPr>
        <w:t xml:space="preserve">prosjekom od </w:t>
      </w:r>
      <w:r w:rsidR="00C75A99">
        <w:rPr>
          <w:bCs/>
          <w:color w:val="244061" w:themeColor="accent1" w:themeShade="80"/>
          <w:sz w:val="20"/>
        </w:rPr>
        <w:t>5,2</w:t>
      </w:r>
      <w:r w:rsidRPr="00C75A99">
        <w:rPr>
          <w:bCs/>
          <w:color w:val="244061" w:themeColor="accent1" w:themeShade="80"/>
          <w:sz w:val="20"/>
        </w:rPr>
        <w:t xml:space="preserve"> milijuna kuna </w:t>
      </w:r>
      <w:r w:rsidR="00B65754" w:rsidRPr="00C75A99">
        <w:rPr>
          <w:bCs/>
          <w:color w:val="244061" w:themeColor="accent1" w:themeShade="80"/>
          <w:sz w:val="20"/>
        </w:rPr>
        <w:t xml:space="preserve">prihoda </w:t>
      </w:r>
      <w:r w:rsidRPr="00C75A99">
        <w:rPr>
          <w:bCs/>
          <w:color w:val="244061" w:themeColor="accent1" w:themeShade="80"/>
          <w:sz w:val="20"/>
        </w:rPr>
        <w:t>po zaposlenom</w:t>
      </w:r>
      <w:r w:rsidR="00C149EE" w:rsidRPr="00C75A99">
        <w:rPr>
          <w:bCs/>
          <w:color w:val="244061" w:themeColor="accent1" w:themeShade="80"/>
          <w:sz w:val="20"/>
        </w:rPr>
        <w:t xml:space="preserve">. </w:t>
      </w:r>
      <w:r w:rsidR="00C94D0E" w:rsidRPr="00C75A99">
        <w:rPr>
          <w:bCs/>
          <w:color w:val="244061" w:themeColor="accent1" w:themeShade="80"/>
          <w:sz w:val="20"/>
        </w:rPr>
        <w:t xml:space="preserve">Prema istom kriteriju iza poduzetnika </w:t>
      </w:r>
      <w:r w:rsidR="00C75A99">
        <w:rPr>
          <w:bCs/>
          <w:color w:val="244061" w:themeColor="accent1" w:themeShade="80"/>
          <w:sz w:val="20"/>
        </w:rPr>
        <w:t>Lećevic</w:t>
      </w:r>
      <w:r w:rsidR="00E61152">
        <w:rPr>
          <w:bCs/>
          <w:color w:val="244061" w:themeColor="accent1" w:themeShade="80"/>
          <w:sz w:val="20"/>
        </w:rPr>
        <w:t>e</w:t>
      </w:r>
      <w:r w:rsidR="000C57CA" w:rsidRPr="00C75A99">
        <w:rPr>
          <w:bCs/>
          <w:color w:val="244061" w:themeColor="accent1" w:themeShade="80"/>
          <w:sz w:val="20"/>
        </w:rPr>
        <w:t>,</w:t>
      </w:r>
      <w:r w:rsidR="00C94D0E" w:rsidRPr="00C75A99">
        <w:rPr>
          <w:bCs/>
          <w:color w:val="244061" w:themeColor="accent1" w:themeShade="80"/>
          <w:sz w:val="20"/>
        </w:rPr>
        <w:t xml:space="preserve"> poduzetnici </w:t>
      </w:r>
      <w:r w:rsidR="005D785A" w:rsidRPr="00C75A99">
        <w:rPr>
          <w:bCs/>
          <w:color w:val="244061" w:themeColor="accent1" w:themeShade="80"/>
          <w:sz w:val="20"/>
        </w:rPr>
        <w:t xml:space="preserve">su </w:t>
      </w:r>
      <w:r w:rsidR="00C75A99">
        <w:rPr>
          <w:bCs/>
          <w:color w:val="244061" w:themeColor="accent1" w:themeShade="80"/>
          <w:sz w:val="20"/>
        </w:rPr>
        <w:t>Dicma</w:t>
      </w:r>
      <w:r w:rsidR="00C94D0E" w:rsidRPr="00C75A99">
        <w:rPr>
          <w:bCs/>
          <w:color w:val="244061" w:themeColor="accent1" w:themeShade="80"/>
          <w:sz w:val="20"/>
        </w:rPr>
        <w:t xml:space="preserve"> s </w:t>
      </w:r>
      <w:r w:rsidR="00C75A99">
        <w:rPr>
          <w:bCs/>
          <w:color w:val="244061" w:themeColor="accent1" w:themeShade="80"/>
          <w:sz w:val="20"/>
        </w:rPr>
        <w:t>1,2 milijuna kuna</w:t>
      </w:r>
      <w:r w:rsidR="00FF2034" w:rsidRPr="00C75A99">
        <w:rPr>
          <w:bCs/>
          <w:color w:val="244061" w:themeColor="accent1" w:themeShade="80"/>
          <w:sz w:val="20"/>
        </w:rPr>
        <w:t xml:space="preserve"> </w:t>
      </w:r>
      <w:r w:rsidR="004E493C">
        <w:rPr>
          <w:bCs/>
          <w:color w:val="244061" w:themeColor="accent1" w:themeShade="80"/>
          <w:sz w:val="20"/>
        </w:rPr>
        <w:t xml:space="preserve">i </w:t>
      </w:r>
      <w:r w:rsidR="00C75A99">
        <w:rPr>
          <w:bCs/>
          <w:color w:val="244061" w:themeColor="accent1" w:themeShade="80"/>
          <w:sz w:val="20"/>
        </w:rPr>
        <w:t>Solina</w:t>
      </w:r>
      <w:r w:rsidR="00C94D0E" w:rsidRPr="00C75A99">
        <w:rPr>
          <w:bCs/>
          <w:color w:val="244061" w:themeColor="accent1" w:themeShade="80"/>
          <w:sz w:val="20"/>
        </w:rPr>
        <w:t xml:space="preserve"> s</w:t>
      </w:r>
      <w:r w:rsidR="005D785A" w:rsidRPr="00C75A99">
        <w:rPr>
          <w:bCs/>
          <w:color w:val="244061" w:themeColor="accent1" w:themeShade="80"/>
          <w:sz w:val="20"/>
        </w:rPr>
        <w:t>a</w:t>
      </w:r>
      <w:r w:rsidR="00C94D0E" w:rsidRPr="00C75A99">
        <w:rPr>
          <w:bCs/>
          <w:color w:val="244061" w:themeColor="accent1" w:themeShade="80"/>
          <w:sz w:val="20"/>
        </w:rPr>
        <w:t xml:space="preserve"> </w:t>
      </w:r>
      <w:r w:rsidR="00C75A99">
        <w:rPr>
          <w:bCs/>
          <w:color w:val="244061" w:themeColor="accent1" w:themeShade="80"/>
          <w:sz w:val="20"/>
        </w:rPr>
        <w:t>784</w:t>
      </w:r>
      <w:r w:rsidR="00FF2034" w:rsidRPr="00C75A99">
        <w:rPr>
          <w:bCs/>
          <w:color w:val="244061" w:themeColor="accent1" w:themeShade="80"/>
          <w:sz w:val="20"/>
        </w:rPr>
        <w:t xml:space="preserve"> tisuće</w:t>
      </w:r>
      <w:r w:rsidR="00C94D0E" w:rsidRPr="00C75A99">
        <w:rPr>
          <w:bCs/>
          <w:color w:val="244061" w:themeColor="accent1" w:themeShade="80"/>
          <w:sz w:val="20"/>
        </w:rPr>
        <w:t xml:space="preserve"> kuna </w:t>
      </w:r>
      <w:r w:rsidR="00733F2C" w:rsidRPr="00C75A99">
        <w:rPr>
          <w:bCs/>
          <w:color w:val="244061" w:themeColor="accent1" w:themeShade="80"/>
          <w:sz w:val="20"/>
        </w:rPr>
        <w:t xml:space="preserve">prihoda </w:t>
      </w:r>
      <w:r w:rsidR="00C94D0E" w:rsidRPr="00C75A99">
        <w:rPr>
          <w:bCs/>
          <w:color w:val="244061" w:themeColor="accent1" w:themeShade="80"/>
          <w:sz w:val="20"/>
        </w:rPr>
        <w:t>po zaposlenom.</w:t>
      </w:r>
      <w:r w:rsidR="00417082" w:rsidRPr="00C75A99">
        <w:rPr>
          <w:bCs/>
          <w:color w:val="244061" w:themeColor="accent1" w:themeShade="80"/>
          <w:sz w:val="20"/>
        </w:rPr>
        <w:t xml:space="preserve"> </w:t>
      </w:r>
      <w:r w:rsidR="00462DFC">
        <w:rPr>
          <w:bCs/>
          <w:color w:val="244061" w:themeColor="accent1" w:themeShade="80"/>
          <w:sz w:val="20"/>
        </w:rPr>
        <w:t>Za usporedbu, p</w:t>
      </w:r>
      <w:r w:rsidRPr="00C75A99">
        <w:rPr>
          <w:bCs/>
          <w:color w:val="244061" w:themeColor="accent1" w:themeShade="80"/>
          <w:sz w:val="20"/>
        </w:rPr>
        <w:t xml:space="preserve">roduktivnost poduzetnika na razini </w:t>
      </w:r>
      <w:r w:rsidR="00E96382" w:rsidRPr="00C75A99">
        <w:rPr>
          <w:bCs/>
          <w:color w:val="244061" w:themeColor="accent1" w:themeShade="80"/>
          <w:sz w:val="20"/>
        </w:rPr>
        <w:t xml:space="preserve">Urbane aglomeracije Split </w:t>
      </w:r>
      <w:r w:rsidR="00AC4D94" w:rsidRPr="00C75A99">
        <w:rPr>
          <w:bCs/>
          <w:color w:val="244061" w:themeColor="accent1" w:themeShade="80"/>
          <w:sz w:val="20"/>
        </w:rPr>
        <w:t xml:space="preserve">bila je </w:t>
      </w:r>
      <w:r w:rsidR="00C475C4">
        <w:rPr>
          <w:bCs/>
          <w:color w:val="244061" w:themeColor="accent1" w:themeShade="80"/>
          <w:sz w:val="20"/>
        </w:rPr>
        <w:t xml:space="preserve">624 </w:t>
      </w:r>
      <w:r w:rsidR="00AC4D94" w:rsidRPr="00C75A99">
        <w:rPr>
          <w:bCs/>
          <w:color w:val="244061" w:themeColor="accent1" w:themeShade="80"/>
          <w:sz w:val="20"/>
        </w:rPr>
        <w:t xml:space="preserve">tisuće kuna, </w:t>
      </w:r>
      <w:r w:rsidR="00026E18">
        <w:rPr>
          <w:bCs/>
          <w:color w:val="244061" w:themeColor="accent1" w:themeShade="80"/>
          <w:sz w:val="20"/>
        </w:rPr>
        <w:t>a na razini RH</w:t>
      </w:r>
      <w:r w:rsidR="00462DFC">
        <w:rPr>
          <w:bCs/>
          <w:color w:val="244061" w:themeColor="accent1" w:themeShade="80"/>
          <w:sz w:val="20"/>
        </w:rPr>
        <w:t xml:space="preserve"> </w:t>
      </w:r>
      <w:r w:rsidR="00462DFC" w:rsidRPr="00462DFC">
        <w:rPr>
          <w:bCs/>
          <w:color w:val="244061" w:themeColor="accent1" w:themeShade="80"/>
          <w:sz w:val="20"/>
        </w:rPr>
        <w:t>768 tisuća kuna</w:t>
      </w:r>
      <w:r w:rsidR="00462DFC">
        <w:rPr>
          <w:bCs/>
          <w:color w:val="244061" w:themeColor="accent1" w:themeShade="80"/>
          <w:sz w:val="20"/>
        </w:rPr>
        <w:t>.</w:t>
      </w:r>
    </w:p>
    <w:p w:rsidR="00E65163" w:rsidRPr="003E42C5" w:rsidRDefault="00E65163" w:rsidP="00E05041">
      <w:pPr>
        <w:widowControl w:val="0"/>
        <w:tabs>
          <w:tab w:val="left" w:pos="1134"/>
        </w:tabs>
        <w:rPr>
          <w:rFonts w:cs="Arial"/>
          <w:color w:val="244061"/>
          <w:sz w:val="18"/>
          <w:szCs w:val="18"/>
        </w:rPr>
      </w:pPr>
      <w:r w:rsidRPr="003E42C5">
        <w:rPr>
          <w:rFonts w:eastAsia="Calibri" w:cs="Arial"/>
          <w:b/>
          <w:color w:val="17365D"/>
          <w:sz w:val="18"/>
          <w:szCs w:val="18"/>
          <w:lang w:eastAsia="en-US"/>
        </w:rPr>
        <w:t xml:space="preserve">Grafikon </w:t>
      </w:r>
      <w:r w:rsidR="004327E0"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cs="Arial"/>
          <w:b/>
          <w:color w:val="244061"/>
          <w:sz w:val="18"/>
          <w:szCs w:val="18"/>
        </w:rPr>
        <w:tab/>
        <w:t>Prihod po zaposlenom u 201</w:t>
      </w:r>
      <w:r w:rsidR="002D009C">
        <w:rPr>
          <w:rFonts w:cs="Arial"/>
          <w:b/>
          <w:color w:val="244061"/>
          <w:sz w:val="18"/>
          <w:szCs w:val="18"/>
        </w:rPr>
        <w:t>7</w:t>
      </w:r>
      <w:r w:rsidRPr="003E42C5">
        <w:rPr>
          <w:rFonts w:cs="Arial"/>
          <w:b/>
          <w:color w:val="244061"/>
          <w:sz w:val="18"/>
          <w:szCs w:val="18"/>
        </w:rPr>
        <w:t xml:space="preserve">. godini na razini gradova/općina Urbane aglomeracije </w:t>
      </w:r>
      <w:r w:rsidR="004B733C" w:rsidRPr="003E42C5">
        <w:rPr>
          <w:rFonts w:cs="Arial"/>
          <w:b/>
          <w:color w:val="244061"/>
          <w:sz w:val="18"/>
          <w:szCs w:val="18"/>
        </w:rPr>
        <w:t>Split</w:t>
      </w:r>
    </w:p>
    <w:p w:rsidR="0069770C" w:rsidRPr="00A77A2F" w:rsidRDefault="00E65163" w:rsidP="0069770C">
      <w:pPr>
        <w:spacing w:before="0"/>
        <w:ind w:right="-28"/>
        <w:jc w:val="right"/>
        <w:rPr>
          <w:rFonts w:cs="Arial"/>
          <w:color w:val="17365D"/>
          <w:sz w:val="18"/>
          <w:szCs w:val="18"/>
        </w:rPr>
      </w:pPr>
      <w:r w:rsidRPr="00A77A2F">
        <w:rPr>
          <w:rFonts w:cs="Arial"/>
          <w:color w:val="244061"/>
          <w:sz w:val="16"/>
          <w:szCs w:val="16"/>
        </w:rPr>
        <w:t xml:space="preserve">(iznosi u tisućama </w:t>
      </w:r>
      <w:r w:rsidRPr="00A77A2F">
        <w:rPr>
          <w:rFonts w:cs="Arial"/>
          <w:color w:val="17365D"/>
          <w:sz w:val="16"/>
          <w:szCs w:val="16"/>
        </w:rPr>
        <w:t>kuna)</w:t>
      </w:r>
    </w:p>
    <w:p w:rsidR="0069770C" w:rsidRDefault="0069770C" w:rsidP="00A218D6">
      <w:pPr>
        <w:spacing w:before="0"/>
        <w:jc w:val="center"/>
        <w:rPr>
          <w:bCs/>
          <w:i/>
          <w:color w:val="244061"/>
          <w:sz w:val="16"/>
          <w:szCs w:val="16"/>
        </w:rPr>
      </w:pPr>
      <w:r>
        <w:rPr>
          <w:noProof/>
        </w:rPr>
        <w:drawing>
          <wp:inline distT="0" distB="0" distL="0" distR="0" wp14:anchorId="14ADB2D7" wp14:editId="66B2AFD7">
            <wp:extent cx="6156000" cy="2376000"/>
            <wp:effectExtent l="0" t="0" r="0" b="5715"/>
            <wp:docPr id="9" name="Slika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156000" cy="2376000"/>
                    </a:xfrm>
                    <a:prstGeom prst="rect">
                      <a:avLst/>
                    </a:prstGeom>
                  </pic:spPr>
                </pic:pic>
              </a:graphicData>
            </a:graphic>
          </wp:inline>
        </w:drawing>
      </w:r>
    </w:p>
    <w:p w:rsidR="00E65163" w:rsidRPr="00E030D7" w:rsidRDefault="00E65163" w:rsidP="00E05041">
      <w:pPr>
        <w:spacing w:before="0" w:line="276" w:lineRule="auto"/>
        <w:rPr>
          <w:rFonts w:eastAsia="Calibri" w:cs="Arial"/>
          <w:b/>
          <w:color w:val="244061"/>
          <w:sz w:val="16"/>
          <w:szCs w:val="16"/>
          <w:lang w:eastAsia="en-US"/>
        </w:rPr>
      </w:pPr>
      <w:r w:rsidRPr="00E030D7">
        <w:rPr>
          <w:bCs/>
          <w:i/>
          <w:color w:val="244061"/>
          <w:sz w:val="16"/>
          <w:szCs w:val="16"/>
        </w:rPr>
        <w:t>Izvor: Fina, Registar godišnjih financijskih izvještaja</w:t>
      </w:r>
      <w:r w:rsidR="003E42C5">
        <w:rPr>
          <w:bCs/>
          <w:i/>
          <w:color w:val="244061"/>
          <w:sz w:val="16"/>
          <w:szCs w:val="16"/>
        </w:rPr>
        <w:t>,</w:t>
      </w:r>
      <w:r w:rsidR="003E42C5" w:rsidRPr="003E42C5">
        <w:rPr>
          <w:bCs/>
          <w:i/>
          <w:color w:val="244061"/>
          <w:sz w:val="16"/>
          <w:szCs w:val="16"/>
        </w:rPr>
        <w:t>obrada GFI-a za 201</w:t>
      </w:r>
      <w:r w:rsidR="002D009C">
        <w:rPr>
          <w:bCs/>
          <w:i/>
          <w:color w:val="244061"/>
          <w:sz w:val="16"/>
          <w:szCs w:val="16"/>
        </w:rPr>
        <w:t>7</w:t>
      </w:r>
      <w:r w:rsidR="003E42C5" w:rsidRPr="003E42C5">
        <w:rPr>
          <w:bCs/>
          <w:i/>
          <w:color w:val="244061"/>
          <w:sz w:val="16"/>
          <w:szCs w:val="16"/>
        </w:rPr>
        <w:t>. godinu</w:t>
      </w:r>
    </w:p>
    <w:p w:rsidR="005B563C" w:rsidRPr="007A46E6" w:rsidRDefault="00E65163" w:rsidP="00A218D6">
      <w:pPr>
        <w:widowControl w:val="0"/>
        <w:spacing w:line="276" w:lineRule="auto"/>
        <w:rPr>
          <w:bCs/>
          <w:color w:val="244061" w:themeColor="accent1" w:themeShade="80"/>
          <w:sz w:val="20"/>
        </w:rPr>
      </w:pPr>
      <w:r w:rsidRPr="009C6A85">
        <w:rPr>
          <w:b/>
          <w:bCs/>
          <w:color w:val="244061" w:themeColor="accent1" w:themeShade="80"/>
          <w:sz w:val="20"/>
        </w:rPr>
        <w:t>Prosječna mjesečna neto plaća</w:t>
      </w:r>
      <w:r w:rsidRPr="00DE7392">
        <w:rPr>
          <w:bCs/>
          <w:color w:val="244061" w:themeColor="accent1" w:themeShade="80"/>
          <w:sz w:val="20"/>
        </w:rPr>
        <w:t xml:space="preserve"> </w:t>
      </w:r>
      <w:r w:rsidR="00F07C55">
        <w:rPr>
          <w:bCs/>
          <w:color w:val="244061" w:themeColor="accent1" w:themeShade="80"/>
          <w:sz w:val="20"/>
        </w:rPr>
        <w:t xml:space="preserve">koja je </w:t>
      </w:r>
      <w:r w:rsidRPr="00DE7392">
        <w:rPr>
          <w:bCs/>
          <w:color w:val="244061" w:themeColor="accent1" w:themeShade="80"/>
          <w:sz w:val="20"/>
        </w:rPr>
        <w:t>obračuna</w:t>
      </w:r>
      <w:r w:rsidR="00724FFF" w:rsidRPr="00DE7392">
        <w:rPr>
          <w:bCs/>
          <w:color w:val="244061" w:themeColor="accent1" w:themeShade="80"/>
          <w:sz w:val="20"/>
        </w:rPr>
        <w:t>n</w:t>
      </w:r>
      <w:r w:rsidRPr="00DE7392">
        <w:rPr>
          <w:bCs/>
          <w:color w:val="244061" w:themeColor="accent1" w:themeShade="80"/>
          <w:sz w:val="20"/>
        </w:rPr>
        <w:t xml:space="preserve">a </w:t>
      </w:r>
      <w:r w:rsidR="00A218D6">
        <w:rPr>
          <w:bCs/>
          <w:color w:val="244061" w:themeColor="accent1" w:themeShade="80"/>
          <w:sz w:val="20"/>
        </w:rPr>
        <w:t xml:space="preserve">zaposlenima </w:t>
      </w:r>
      <w:r w:rsidRPr="00DE7392">
        <w:rPr>
          <w:bCs/>
          <w:color w:val="244061" w:themeColor="accent1" w:themeShade="80"/>
          <w:sz w:val="20"/>
        </w:rPr>
        <w:t xml:space="preserve">kod poduzetnika Urbane aglomeracije </w:t>
      </w:r>
      <w:r w:rsidR="004B733C" w:rsidRPr="00DE7392">
        <w:rPr>
          <w:bCs/>
          <w:color w:val="244061" w:themeColor="accent1" w:themeShade="80"/>
          <w:sz w:val="20"/>
        </w:rPr>
        <w:t>Split</w:t>
      </w:r>
      <w:r w:rsidR="00A218D6">
        <w:rPr>
          <w:bCs/>
          <w:color w:val="244061" w:themeColor="accent1" w:themeShade="80"/>
          <w:sz w:val="20"/>
        </w:rPr>
        <w:t>,</w:t>
      </w:r>
      <w:r w:rsidRPr="00DE7392">
        <w:rPr>
          <w:bCs/>
          <w:color w:val="244061" w:themeColor="accent1" w:themeShade="80"/>
          <w:sz w:val="20"/>
        </w:rPr>
        <w:t xml:space="preserve"> iznosila je 4</w:t>
      </w:r>
      <w:r w:rsidRPr="007A46E6">
        <w:rPr>
          <w:bCs/>
          <w:color w:val="244061" w:themeColor="accent1" w:themeShade="80"/>
          <w:sz w:val="20"/>
        </w:rPr>
        <w:t>.</w:t>
      </w:r>
      <w:r w:rsidR="007A46E6" w:rsidRPr="007A46E6">
        <w:rPr>
          <w:bCs/>
          <w:color w:val="244061" w:themeColor="accent1" w:themeShade="80"/>
          <w:sz w:val="20"/>
        </w:rPr>
        <w:t>486</w:t>
      </w:r>
      <w:r w:rsidRPr="007A46E6">
        <w:rPr>
          <w:bCs/>
          <w:color w:val="244061" w:themeColor="accent1" w:themeShade="80"/>
          <w:sz w:val="20"/>
        </w:rPr>
        <w:t xml:space="preserve"> kuna, </w:t>
      </w:r>
      <w:r w:rsidR="00066955">
        <w:rPr>
          <w:bCs/>
          <w:color w:val="244061" w:themeColor="accent1" w:themeShade="80"/>
          <w:sz w:val="20"/>
        </w:rPr>
        <w:t xml:space="preserve">što je </w:t>
      </w:r>
      <w:r w:rsidRPr="007A46E6">
        <w:rPr>
          <w:bCs/>
          <w:color w:val="244061" w:themeColor="accent1" w:themeShade="80"/>
          <w:sz w:val="20"/>
        </w:rPr>
        <w:t xml:space="preserve">na </w:t>
      </w:r>
      <w:r w:rsidR="00066955">
        <w:rPr>
          <w:bCs/>
          <w:color w:val="244061" w:themeColor="accent1" w:themeShade="80"/>
          <w:sz w:val="20"/>
        </w:rPr>
        <w:t xml:space="preserve">razini </w:t>
      </w:r>
      <w:r w:rsidR="004877E6">
        <w:rPr>
          <w:bCs/>
          <w:color w:val="244061" w:themeColor="accent1" w:themeShade="80"/>
          <w:sz w:val="20"/>
        </w:rPr>
        <w:t>2016.</w:t>
      </w:r>
      <w:r w:rsidR="00066955">
        <w:rPr>
          <w:bCs/>
          <w:color w:val="244061" w:themeColor="accent1" w:themeShade="80"/>
          <w:sz w:val="20"/>
        </w:rPr>
        <w:t xml:space="preserve"> godine (</w:t>
      </w:r>
      <w:r w:rsidR="00066955" w:rsidRPr="00066955">
        <w:rPr>
          <w:bCs/>
          <w:color w:val="244061" w:themeColor="accent1" w:themeShade="80"/>
          <w:sz w:val="20"/>
        </w:rPr>
        <w:t>0,3 % više</w:t>
      </w:r>
      <w:r w:rsidR="00066955">
        <w:rPr>
          <w:bCs/>
          <w:color w:val="244061" w:themeColor="accent1" w:themeShade="80"/>
          <w:sz w:val="20"/>
        </w:rPr>
        <w:t>)</w:t>
      </w:r>
      <w:r w:rsidRPr="007A46E6">
        <w:rPr>
          <w:bCs/>
          <w:color w:val="244061" w:themeColor="accent1" w:themeShade="80"/>
          <w:sz w:val="20"/>
        </w:rPr>
        <w:t xml:space="preserve"> </w:t>
      </w:r>
      <w:r w:rsidR="00F07C55">
        <w:rPr>
          <w:bCs/>
          <w:color w:val="244061" w:themeColor="accent1" w:themeShade="80"/>
          <w:sz w:val="20"/>
        </w:rPr>
        <w:t>te</w:t>
      </w:r>
      <w:bookmarkStart w:id="2" w:name="_GoBack"/>
      <w:bookmarkEnd w:id="2"/>
      <w:r w:rsidRPr="007A46E6">
        <w:rPr>
          <w:bCs/>
          <w:color w:val="244061" w:themeColor="accent1" w:themeShade="80"/>
          <w:sz w:val="20"/>
        </w:rPr>
        <w:t xml:space="preserve"> </w:t>
      </w:r>
      <w:r w:rsidR="007A46E6" w:rsidRPr="007A46E6">
        <w:rPr>
          <w:bCs/>
          <w:color w:val="244061" w:themeColor="accent1" w:themeShade="80"/>
          <w:sz w:val="20"/>
        </w:rPr>
        <w:t>4,8</w:t>
      </w:r>
      <w:r w:rsidR="009D44C3" w:rsidRPr="007A46E6">
        <w:rPr>
          <w:bCs/>
          <w:color w:val="244061" w:themeColor="accent1" w:themeShade="80"/>
          <w:sz w:val="20"/>
        </w:rPr>
        <w:t xml:space="preserve"> </w:t>
      </w:r>
      <w:r w:rsidRPr="007A46E6">
        <w:rPr>
          <w:bCs/>
          <w:color w:val="244061" w:themeColor="accent1" w:themeShade="80"/>
          <w:sz w:val="20"/>
        </w:rPr>
        <w:t xml:space="preserve">% </w:t>
      </w:r>
      <w:r w:rsidR="007A46E6" w:rsidRPr="007A46E6">
        <w:rPr>
          <w:bCs/>
          <w:color w:val="244061" w:themeColor="accent1" w:themeShade="80"/>
          <w:sz w:val="20"/>
        </w:rPr>
        <w:t>niže</w:t>
      </w:r>
      <w:r w:rsidRPr="007A46E6">
        <w:rPr>
          <w:bCs/>
          <w:color w:val="244061" w:themeColor="accent1" w:themeShade="80"/>
          <w:sz w:val="20"/>
        </w:rPr>
        <w:t xml:space="preserve"> od iznosa prosječne mjesečne neto plaće zaposlenih kod poduzetnika u </w:t>
      </w:r>
      <w:r w:rsidR="00B43BD0" w:rsidRPr="007A46E6">
        <w:rPr>
          <w:bCs/>
          <w:color w:val="244061" w:themeColor="accent1" w:themeShade="80"/>
          <w:sz w:val="20"/>
        </w:rPr>
        <w:t>Splitsko-dalmatinskoj</w:t>
      </w:r>
      <w:r w:rsidRPr="007A46E6">
        <w:rPr>
          <w:bCs/>
          <w:color w:val="244061" w:themeColor="accent1" w:themeShade="80"/>
          <w:sz w:val="20"/>
        </w:rPr>
        <w:t xml:space="preserve"> županiji (4</w:t>
      </w:r>
      <w:r w:rsidR="00B43BD0" w:rsidRPr="007A46E6">
        <w:rPr>
          <w:bCs/>
          <w:color w:val="244061" w:themeColor="accent1" w:themeShade="80"/>
          <w:sz w:val="20"/>
        </w:rPr>
        <w:t>.</w:t>
      </w:r>
      <w:r w:rsidR="007A46E6" w:rsidRPr="007A46E6">
        <w:rPr>
          <w:bCs/>
          <w:color w:val="244061" w:themeColor="accent1" w:themeShade="80"/>
          <w:sz w:val="20"/>
        </w:rPr>
        <w:t>710</w:t>
      </w:r>
      <w:r w:rsidR="00882CF6" w:rsidRPr="007A46E6">
        <w:rPr>
          <w:bCs/>
          <w:color w:val="244061" w:themeColor="accent1" w:themeShade="80"/>
          <w:sz w:val="20"/>
        </w:rPr>
        <w:t xml:space="preserve"> kuna).</w:t>
      </w:r>
    </w:p>
    <w:p w:rsidR="00E65163" w:rsidRPr="007A46E6" w:rsidRDefault="00E65163" w:rsidP="00806D40">
      <w:pPr>
        <w:spacing w:before="120" w:line="276" w:lineRule="auto"/>
        <w:rPr>
          <w:bCs/>
          <w:color w:val="244061" w:themeColor="accent1" w:themeShade="80"/>
          <w:sz w:val="20"/>
        </w:rPr>
      </w:pPr>
      <w:r w:rsidRPr="003A2FFA">
        <w:rPr>
          <w:bCs/>
          <w:color w:val="244061" w:themeColor="accent1" w:themeShade="80"/>
          <w:sz w:val="20"/>
        </w:rPr>
        <w:t>Najv</w:t>
      </w:r>
      <w:r w:rsidR="00B21176" w:rsidRPr="003A2FFA">
        <w:rPr>
          <w:bCs/>
          <w:color w:val="244061" w:themeColor="accent1" w:themeShade="80"/>
          <w:sz w:val="20"/>
        </w:rPr>
        <w:t>iša</w:t>
      </w:r>
      <w:r w:rsidRPr="003A2FFA">
        <w:rPr>
          <w:bCs/>
          <w:color w:val="244061" w:themeColor="accent1" w:themeShade="80"/>
          <w:sz w:val="20"/>
        </w:rPr>
        <w:t xml:space="preserve"> </w:t>
      </w:r>
      <w:r w:rsidRPr="007A46E6">
        <w:rPr>
          <w:bCs/>
          <w:color w:val="244061" w:themeColor="accent1" w:themeShade="80"/>
          <w:sz w:val="20"/>
        </w:rPr>
        <w:t>prosječna mjesečna neto plaća obračuna</w:t>
      </w:r>
      <w:r w:rsidR="00724FFF" w:rsidRPr="007A46E6">
        <w:rPr>
          <w:bCs/>
          <w:color w:val="244061" w:themeColor="accent1" w:themeShade="80"/>
          <w:sz w:val="20"/>
        </w:rPr>
        <w:t>n</w:t>
      </w:r>
      <w:r w:rsidRPr="007A46E6">
        <w:rPr>
          <w:bCs/>
          <w:color w:val="244061" w:themeColor="accent1" w:themeShade="80"/>
          <w:sz w:val="20"/>
        </w:rPr>
        <w:t xml:space="preserve">a je </w:t>
      </w:r>
      <w:r w:rsidR="0054311C" w:rsidRPr="007A46E6">
        <w:rPr>
          <w:bCs/>
          <w:color w:val="244061" w:themeColor="accent1" w:themeShade="80"/>
          <w:sz w:val="20"/>
        </w:rPr>
        <w:t xml:space="preserve">zaposlenima </w:t>
      </w:r>
      <w:r w:rsidRPr="007A46E6">
        <w:rPr>
          <w:bCs/>
          <w:color w:val="244061" w:themeColor="accent1" w:themeShade="80"/>
          <w:sz w:val="20"/>
        </w:rPr>
        <w:t xml:space="preserve">kod poduzetnika </w:t>
      </w:r>
      <w:r w:rsidR="0054311C" w:rsidRPr="007A46E6">
        <w:rPr>
          <w:bCs/>
          <w:color w:val="244061" w:themeColor="accent1" w:themeShade="80"/>
          <w:sz w:val="20"/>
        </w:rPr>
        <w:t xml:space="preserve">sa sjedištem u </w:t>
      </w:r>
      <w:r w:rsidR="00B43BD0" w:rsidRPr="007A46E6">
        <w:rPr>
          <w:bCs/>
          <w:color w:val="244061" w:themeColor="accent1" w:themeShade="80"/>
          <w:sz w:val="20"/>
        </w:rPr>
        <w:t>Sinj</w:t>
      </w:r>
      <w:r w:rsidR="0054311C" w:rsidRPr="007A46E6">
        <w:rPr>
          <w:bCs/>
          <w:color w:val="244061" w:themeColor="accent1" w:themeShade="80"/>
          <w:sz w:val="20"/>
        </w:rPr>
        <w:t>u</w:t>
      </w:r>
      <w:r w:rsidRPr="007A46E6">
        <w:rPr>
          <w:bCs/>
          <w:color w:val="244061" w:themeColor="accent1" w:themeShade="80"/>
          <w:sz w:val="20"/>
        </w:rPr>
        <w:t xml:space="preserve"> (</w:t>
      </w:r>
      <w:r w:rsidR="007A46E6" w:rsidRPr="007A46E6">
        <w:rPr>
          <w:bCs/>
          <w:color w:val="244061" w:themeColor="accent1" w:themeShade="80"/>
          <w:sz w:val="20"/>
        </w:rPr>
        <w:t>6.055</w:t>
      </w:r>
      <w:r w:rsidRPr="007A46E6">
        <w:rPr>
          <w:bCs/>
          <w:color w:val="244061" w:themeColor="accent1" w:themeShade="80"/>
          <w:sz w:val="20"/>
        </w:rPr>
        <w:t xml:space="preserve"> kun</w:t>
      </w:r>
      <w:r w:rsidR="006276A8" w:rsidRPr="007A46E6">
        <w:rPr>
          <w:bCs/>
          <w:color w:val="244061" w:themeColor="accent1" w:themeShade="80"/>
          <w:sz w:val="20"/>
        </w:rPr>
        <w:t>a</w:t>
      </w:r>
      <w:r w:rsidRPr="007A46E6">
        <w:rPr>
          <w:bCs/>
          <w:color w:val="244061" w:themeColor="accent1" w:themeShade="80"/>
          <w:sz w:val="20"/>
        </w:rPr>
        <w:t>)</w:t>
      </w:r>
      <w:r w:rsidR="006276A8" w:rsidRPr="007A46E6">
        <w:rPr>
          <w:bCs/>
          <w:color w:val="244061" w:themeColor="accent1" w:themeShade="80"/>
          <w:sz w:val="20"/>
        </w:rPr>
        <w:t xml:space="preserve"> i viša je za </w:t>
      </w:r>
      <w:r w:rsidR="007A46E6" w:rsidRPr="007A46E6">
        <w:rPr>
          <w:bCs/>
          <w:color w:val="244061" w:themeColor="accent1" w:themeShade="80"/>
          <w:sz w:val="20"/>
        </w:rPr>
        <w:t>35,0</w:t>
      </w:r>
      <w:r w:rsidR="006276A8" w:rsidRPr="007A46E6">
        <w:rPr>
          <w:bCs/>
          <w:color w:val="244061" w:themeColor="accent1" w:themeShade="80"/>
          <w:sz w:val="20"/>
        </w:rPr>
        <w:t xml:space="preserve"> % od prosječne mjesečne neto plaće obračunane </w:t>
      </w:r>
      <w:r w:rsidR="003A2FFA">
        <w:rPr>
          <w:bCs/>
          <w:color w:val="244061" w:themeColor="accent1" w:themeShade="80"/>
          <w:sz w:val="20"/>
        </w:rPr>
        <w:t xml:space="preserve">zaposlenima kod </w:t>
      </w:r>
      <w:r w:rsidR="006276A8" w:rsidRPr="007A46E6">
        <w:rPr>
          <w:bCs/>
          <w:color w:val="244061" w:themeColor="accent1" w:themeShade="80"/>
          <w:sz w:val="20"/>
        </w:rPr>
        <w:t>poduzetni</w:t>
      </w:r>
      <w:r w:rsidR="003A2FFA">
        <w:rPr>
          <w:bCs/>
          <w:color w:val="244061" w:themeColor="accent1" w:themeShade="80"/>
          <w:sz w:val="20"/>
        </w:rPr>
        <w:t>ka Urb</w:t>
      </w:r>
      <w:r w:rsidR="006276A8" w:rsidRPr="007A46E6">
        <w:rPr>
          <w:bCs/>
          <w:color w:val="244061" w:themeColor="accent1" w:themeShade="80"/>
          <w:sz w:val="20"/>
        </w:rPr>
        <w:t>ane aglomeracije Split</w:t>
      </w:r>
      <w:r w:rsidR="004877E6">
        <w:rPr>
          <w:bCs/>
          <w:color w:val="244061" w:themeColor="accent1" w:themeShade="80"/>
          <w:sz w:val="20"/>
        </w:rPr>
        <w:t xml:space="preserve"> (4.486 kuna)</w:t>
      </w:r>
      <w:r w:rsidR="002C23FA" w:rsidRPr="007A46E6">
        <w:rPr>
          <w:bCs/>
          <w:color w:val="244061" w:themeColor="accent1" w:themeShade="80"/>
          <w:sz w:val="20"/>
        </w:rPr>
        <w:t>.</w:t>
      </w:r>
      <w:r w:rsidR="00806D40">
        <w:rPr>
          <w:bCs/>
          <w:color w:val="244061" w:themeColor="accent1" w:themeShade="80"/>
          <w:sz w:val="20"/>
        </w:rPr>
        <w:t xml:space="preserve"> </w:t>
      </w:r>
      <w:r w:rsidR="005B563C" w:rsidRPr="007A46E6">
        <w:rPr>
          <w:bCs/>
          <w:color w:val="244061" w:themeColor="accent1" w:themeShade="80"/>
          <w:sz w:val="20"/>
        </w:rPr>
        <w:t>S</w:t>
      </w:r>
      <w:r w:rsidRPr="007A46E6">
        <w:rPr>
          <w:bCs/>
          <w:color w:val="244061" w:themeColor="accent1" w:themeShade="80"/>
          <w:sz w:val="20"/>
        </w:rPr>
        <w:t xml:space="preserve">lijede poduzetnici u </w:t>
      </w:r>
      <w:r w:rsidR="00B43BD0" w:rsidRPr="007A46E6">
        <w:rPr>
          <w:bCs/>
          <w:color w:val="244061" w:themeColor="accent1" w:themeShade="80"/>
          <w:sz w:val="20"/>
        </w:rPr>
        <w:t>Kaštel</w:t>
      </w:r>
      <w:r w:rsidR="002C23FA" w:rsidRPr="007A46E6">
        <w:rPr>
          <w:bCs/>
          <w:color w:val="244061" w:themeColor="accent1" w:themeShade="80"/>
          <w:sz w:val="20"/>
        </w:rPr>
        <w:t>u</w:t>
      </w:r>
      <w:r w:rsidRPr="007A46E6">
        <w:rPr>
          <w:bCs/>
          <w:color w:val="244061" w:themeColor="accent1" w:themeShade="80"/>
          <w:sz w:val="20"/>
        </w:rPr>
        <w:t xml:space="preserve"> (</w:t>
      </w:r>
      <w:r w:rsidR="007A46E6" w:rsidRPr="007A46E6">
        <w:rPr>
          <w:bCs/>
          <w:color w:val="244061" w:themeColor="accent1" w:themeShade="80"/>
          <w:sz w:val="20"/>
        </w:rPr>
        <w:t>5.342</w:t>
      </w:r>
      <w:r w:rsidRPr="007A46E6">
        <w:rPr>
          <w:bCs/>
          <w:color w:val="244061" w:themeColor="accent1" w:themeShade="80"/>
          <w:sz w:val="20"/>
        </w:rPr>
        <w:t xml:space="preserve"> kun</w:t>
      </w:r>
      <w:r w:rsidR="006276A8" w:rsidRPr="007A46E6">
        <w:rPr>
          <w:bCs/>
          <w:color w:val="244061" w:themeColor="accent1" w:themeShade="80"/>
          <w:sz w:val="20"/>
        </w:rPr>
        <w:t>a</w:t>
      </w:r>
      <w:r w:rsidRPr="007A46E6">
        <w:rPr>
          <w:bCs/>
          <w:color w:val="244061" w:themeColor="accent1" w:themeShade="80"/>
          <w:sz w:val="20"/>
        </w:rPr>
        <w:t>)</w:t>
      </w:r>
      <w:r w:rsidR="002C23FA" w:rsidRPr="007A46E6">
        <w:rPr>
          <w:bCs/>
          <w:color w:val="244061" w:themeColor="accent1" w:themeShade="80"/>
          <w:sz w:val="20"/>
        </w:rPr>
        <w:t>,</w:t>
      </w:r>
      <w:r w:rsidRPr="007A46E6">
        <w:rPr>
          <w:bCs/>
          <w:color w:val="244061" w:themeColor="accent1" w:themeShade="80"/>
          <w:sz w:val="20"/>
        </w:rPr>
        <w:t xml:space="preserve"> </w:t>
      </w:r>
      <w:r w:rsidR="007A46E6" w:rsidRPr="007A46E6">
        <w:rPr>
          <w:bCs/>
          <w:color w:val="244061" w:themeColor="accent1" w:themeShade="80"/>
          <w:sz w:val="20"/>
        </w:rPr>
        <w:t>Dicmu (5.063 kuna),</w:t>
      </w:r>
      <w:r w:rsidR="004877E6">
        <w:rPr>
          <w:bCs/>
          <w:color w:val="244061" w:themeColor="accent1" w:themeShade="80"/>
          <w:sz w:val="20"/>
        </w:rPr>
        <w:t xml:space="preserve"> </w:t>
      </w:r>
      <w:r w:rsidR="00B43BD0" w:rsidRPr="007A46E6">
        <w:rPr>
          <w:bCs/>
          <w:color w:val="244061" w:themeColor="accent1" w:themeShade="80"/>
          <w:sz w:val="20"/>
        </w:rPr>
        <w:t>Trogiru</w:t>
      </w:r>
      <w:r w:rsidRPr="007A46E6">
        <w:rPr>
          <w:bCs/>
          <w:color w:val="244061" w:themeColor="accent1" w:themeShade="80"/>
          <w:sz w:val="20"/>
        </w:rPr>
        <w:t xml:space="preserve"> (</w:t>
      </w:r>
      <w:r w:rsidR="006276A8" w:rsidRPr="007A46E6">
        <w:rPr>
          <w:bCs/>
          <w:color w:val="244061" w:themeColor="accent1" w:themeShade="80"/>
          <w:sz w:val="20"/>
        </w:rPr>
        <w:t>4.9</w:t>
      </w:r>
      <w:r w:rsidR="007A46E6" w:rsidRPr="007A46E6">
        <w:rPr>
          <w:bCs/>
          <w:color w:val="244061" w:themeColor="accent1" w:themeShade="80"/>
          <w:sz w:val="20"/>
        </w:rPr>
        <w:t>95</w:t>
      </w:r>
      <w:r w:rsidRPr="007A46E6">
        <w:rPr>
          <w:bCs/>
          <w:color w:val="244061" w:themeColor="accent1" w:themeShade="80"/>
          <w:sz w:val="20"/>
        </w:rPr>
        <w:t xml:space="preserve"> kuna)</w:t>
      </w:r>
      <w:r w:rsidR="002C23FA" w:rsidRPr="007A46E6">
        <w:rPr>
          <w:bCs/>
          <w:color w:val="244061" w:themeColor="accent1" w:themeShade="80"/>
          <w:sz w:val="20"/>
        </w:rPr>
        <w:t xml:space="preserve"> i</w:t>
      </w:r>
      <w:r w:rsidR="006276A8" w:rsidRPr="007A46E6">
        <w:rPr>
          <w:bCs/>
          <w:color w:val="244061" w:themeColor="accent1" w:themeShade="80"/>
          <w:sz w:val="20"/>
        </w:rPr>
        <w:t xml:space="preserve"> Splitu (4.</w:t>
      </w:r>
      <w:r w:rsidR="007A46E6" w:rsidRPr="007A46E6">
        <w:rPr>
          <w:bCs/>
          <w:color w:val="244061" w:themeColor="accent1" w:themeShade="80"/>
          <w:sz w:val="20"/>
        </w:rPr>
        <w:t>780</w:t>
      </w:r>
      <w:r w:rsidR="006276A8" w:rsidRPr="007A46E6">
        <w:rPr>
          <w:bCs/>
          <w:color w:val="244061" w:themeColor="accent1" w:themeShade="80"/>
          <w:sz w:val="20"/>
        </w:rPr>
        <w:t xml:space="preserve"> ku</w:t>
      </w:r>
      <w:r w:rsidR="007A46E6" w:rsidRPr="007A46E6">
        <w:rPr>
          <w:bCs/>
          <w:color w:val="244061" w:themeColor="accent1" w:themeShade="80"/>
          <w:sz w:val="20"/>
        </w:rPr>
        <w:t>na</w:t>
      </w:r>
      <w:r w:rsidR="006276A8" w:rsidRPr="007A46E6">
        <w:rPr>
          <w:bCs/>
          <w:color w:val="244061" w:themeColor="accent1" w:themeShade="80"/>
          <w:sz w:val="20"/>
        </w:rPr>
        <w:t>)</w:t>
      </w:r>
      <w:r w:rsidRPr="007A46E6">
        <w:rPr>
          <w:bCs/>
          <w:color w:val="244061" w:themeColor="accent1" w:themeShade="80"/>
          <w:sz w:val="20"/>
        </w:rPr>
        <w:t>.</w:t>
      </w:r>
    </w:p>
    <w:p w:rsidR="000A6147" w:rsidRPr="00026E74" w:rsidRDefault="000A6147" w:rsidP="00806D40">
      <w:pPr>
        <w:spacing w:before="120" w:line="276" w:lineRule="auto"/>
        <w:rPr>
          <w:bCs/>
          <w:color w:val="244061" w:themeColor="accent1" w:themeShade="80"/>
          <w:sz w:val="20"/>
        </w:rPr>
      </w:pPr>
      <w:r w:rsidRPr="003A2FFA">
        <w:rPr>
          <w:bCs/>
          <w:color w:val="244061" w:themeColor="accent1" w:themeShade="80"/>
          <w:sz w:val="20"/>
        </w:rPr>
        <w:t>Najniža</w:t>
      </w:r>
      <w:r w:rsidRPr="00026E74">
        <w:rPr>
          <w:bCs/>
          <w:color w:val="244061" w:themeColor="accent1" w:themeShade="80"/>
          <w:sz w:val="20"/>
        </w:rPr>
        <w:t xml:space="preserve"> mjesečna prosječna neto plaća obračunana je zaposlenima kod poduzetnika </w:t>
      </w:r>
      <w:r w:rsidR="0054311C" w:rsidRPr="00026E74">
        <w:rPr>
          <w:bCs/>
          <w:color w:val="244061" w:themeColor="accent1" w:themeShade="80"/>
          <w:sz w:val="20"/>
        </w:rPr>
        <w:t xml:space="preserve">sa sjedištem </w:t>
      </w:r>
      <w:r w:rsidRPr="00026E74">
        <w:rPr>
          <w:bCs/>
          <w:color w:val="244061" w:themeColor="accent1" w:themeShade="80"/>
          <w:sz w:val="20"/>
        </w:rPr>
        <w:t>u Lećevic</w:t>
      </w:r>
      <w:r w:rsidR="00A45AF8" w:rsidRPr="00026E74">
        <w:rPr>
          <w:bCs/>
          <w:color w:val="244061" w:themeColor="accent1" w:themeShade="80"/>
          <w:sz w:val="20"/>
        </w:rPr>
        <w:t>i</w:t>
      </w:r>
      <w:r w:rsidRPr="00026E74">
        <w:rPr>
          <w:bCs/>
          <w:color w:val="244061" w:themeColor="accent1" w:themeShade="80"/>
          <w:sz w:val="20"/>
        </w:rPr>
        <w:t xml:space="preserve"> (</w:t>
      </w:r>
      <w:r w:rsidR="00026E74" w:rsidRPr="00026E74">
        <w:rPr>
          <w:bCs/>
          <w:color w:val="244061" w:themeColor="accent1" w:themeShade="80"/>
          <w:sz w:val="20"/>
        </w:rPr>
        <w:t>2.857</w:t>
      </w:r>
      <w:r w:rsidR="004D314D" w:rsidRPr="00026E74">
        <w:rPr>
          <w:bCs/>
          <w:color w:val="244061" w:themeColor="accent1" w:themeShade="80"/>
          <w:sz w:val="20"/>
        </w:rPr>
        <w:t xml:space="preserve"> </w:t>
      </w:r>
      <w:r w:rsidRPr="00026E74">
        <w:rPr>
          <w:bCs/>
          <w:color w:val="244061" w:themeColor="accent1" w:themeShade="80"/>
          <w:sz w:val="20"/>
        </w:rPr>
        <w:t>kun</w:t>
      </w:r>
      <w:r w:rsidR="00026E74" w:rsidRPr="00026E74">
        <w:rPr>
          <w:bCs/>
          <w:color w:val="244061" w:themeColor="accent1" w:themeShade="80"/>
          <w:sz w:val="20"/>
        </w:rPr>
        <w:t>a</w:t>
      </w:r>
      <w:r w:rsidRPr="00026E74">
        <w:rPr>
          <w:bCs/>
          <w:color w:val="244061" w:themeColor="accent1" w:themeShade="80"/>
          <w:sz w:val="20"/>
        </w:rPr>
        <w:t>)</w:t>
      </w:r>
      <w:r w:rsidR="00C20E9C" w:rsidRPr="00026E74">
        <w:rPr>
          <w:bCs/>
          <w:color w:val="244061" w:themeColor="accent1" w:themeShade="80"/>
          <w:sz w:val="20"/>
        </w:rPr>
        <w:t xml:space="preserve"> i </w:t>
      </w:r>
      <w:r w:rsidR="00F11397" w:rsidRPr="00026E74">
        <w:rPr>
          <w:bCs/>
          <w:color w:val="244061" w:themeColor="accent1" w:themeShade="80"/>
          <w:sz w:val="20"/>
        </w:rPr>
        <w:t xml:space="preserve">niža je za </w:t>
      </w:r>
      <w:r w:rsidR="00026E74" w:rsidRPr="00026E74">
        <w:rPr>
          <w:bCs/>
          <w:color w:val="244061" w:themeColor="accent1" w:themeShade="80"/>
          <w:sz w:val="20"/>
        </w:rPr>
        <w:t>36,3</w:t>
      </w:r>
      <w:r w:rsidR="00E05041" w:rsidRPr="00026E74">
        <w:rPr>
          <w:bCs/>
          <w:color w:val="244061" w:themeColor="accent1" w:themeShade="80"/>
          <w:sz w:val="20"/>
        </w:rPr>
        <w:t xml:space="preserve"> %</w:t>
      </w:r>
      <w:r w:rsidR="00C20E9C" w:rsidRPr="00026E74">
        <w:rPr>
          <w:bCs/>
          <w:color w:val="244061" w:themeColor="accent1" w:themeShade="80"/>
          <w:sz w:val="20"/>
        </w:rPr>
        <w:t xml:space="preserve"> u odnosu na prosječnu mjesečnu neto plaća obračunanu kod poduzetnika </w:t>
      </w:r>
      <w:r w:rsidR="002C23FA" w:rsidRPr="00026E74">
        <w:rPr>
          <w:bCs/>
          <w:color w:val="244061" w:themeColor="accent1" w:themeShade="80"/>
          <w:sz w:val="20"/>
        </w:rPr>
        <w:t xml:space="preserve">na razini </w:t>
      </w:r>
      <w:r w:rsidR="00C20E9C" w:rsidRPr="00026E74">
        <w:rPr>
          <w:bCs/>
          <w:color w:val="244061" w:themeColor="accent1" w:themeShade="80"/>
          <w:sz w:val="20"/>
        </w:rPr>
        <w:t>Urbane aglomeracije Spli</w:t>
      </w:r>
      <w:r w:rsidR="00026E74" w:rsidRPr="00026E74">
        <w:rPr>
          <w:bCs/>
          <w:color w:val="244061" w:themeColor="accent1" w:themeShade="80"/>
          <w:sz w:val="20"/>
        </w:rPr>
        <w:t>t</w:t>
      </w:r>
      <w:r w:rsidR="00026E74">
        <w:rPr>
          <w:bCs/>
          <w:color w:val="244061" w:themeColor="accent1" w:themeShade="80"/>
          <w:sz w:val="20"/>
        </w:rPr>
        <w:t xml:space="preserve"> (4.486 kuna)</w:t>
      </w:r>
      <w:r w:rsidR="00026E74" w:rsidRPr="00026E74">
        <w:rPr>
          <w:bCs/>
          <w:color w:val="244061" w:themeColor="accent1" w:themeShade="80"/>
          <w:sz w:val="20"/>
        </w:rPr>
        <w:t>.</w:t>
      </w:r>
    </w:p>
    <w:p w:rsidR="00236374" w:rsidRPr="00026E74" w:rsidRDefault="00806D40" w:rsidP="00E236D7">
      <w:pPr>
        <w:widowControl w:val="0"/>
        <w:spacing w:before="120" w:line="276" w:lineRule="auto"/>
        <w:rPr>
          <w:bCs/>
          <w:color w:val="244061" w:themeColor="accent1" w:themeShade="80"/>
          <w:sz w:val="20"/>
        </w:rPr>
      </w:pPr>
      <w:r>
        <w:rPr>
          <w:bCs/>
          <w:color w:val="244061" w:themeColor="accent1" w:themeShade="80"/>
          <w:sz w:val="20"/>
        </w:rPr>
        <w:t>Zaposlenima kod p</w:t>
      </w:r>
      <w:r w:rsidR="00EC6F95" w:rsidRPr="00026E74">
        <w:rPr>
          <w:bCs/>
          <w:color w:val="244061" w:themeColor="accent1" w:themeShade="80"/>
          <w:sz w:val="20"/>
        </w:rPr>
        <w:t>oduzetni</w:t>
      </w:r>
      <w:r>
        <w:rPr>
          <w:bCs/>
          <w:color w:val="244061" w:themeColor="accent1" w:themeShade="80"/>
          <w:sz w:val="20"/>
        </w:rPr>
        <w:t>ka</w:t>
      </w:r>
      <w:r w:rsidR="00A45AF8" w:rsidRPr="00026E74">
        <w:rPr>
          <w:bCs/>
          <w:color w:val="244061" w:themeColor="accent1" w:themeShade="80"/>
          <w:sz w:val="20"/>
        </w:rPr>
        <w:t xml:space="preserve"> sa sjedištem </w:t>
      </w:r>
      <w:r w:rsidR="00EC6F95" w:rsidRPr="00026E74">
        <w:rPr>
          <w:bCs/>
          <w:color w:val="244061" w:themeColor="accent1" w:themeShade="80"/>
          <w:sz w:val="20"/>
        </w:rPr>
        <w:t xml:space="preserve">u </w:t>
      </w:r>
      <w:r w:rsidR="004062C7" w:rsidRPr="00026E74">
        <w:rPr>
          <w:bCs/>
          <w:color w:val="244061" w:themeColor="accent1" w:themeShade="80"/>
          <w:sz w:val="20"/>
        </w:rPr>
        <w:t>Splitu</w:t>
      </w:r>
      <w:r w:rsidR="00EC6F95" w:rsidRPr="00026E74">
        <w:rPr>
          <w:bCs/>
          <w:color w:val="244061" w:themeColor="accent1" w:themeShade="80"/>
          <w:sz w:val="20"/>
        </w:rPr>
        <w:t xml:space="preserve"> </w:t>
      </w:r>
      <w:r w:rsidR="004062C7" w:rsidRPr="00026E74">
        <w:rPr>
          <w:bCs/>
          <w:color w:val="244061" w:themeColor="accent1" w:themeShade="80"/>
          <w:sz w:val="20"/>
        </w:rPr>
        <w:t xml:space="preserve">obračunana </w:t>
      </w:r>
      <w:r w:rsidR="00A45AF8" w:rsidRPr="00026E74">
        <w:rPr>
          <w:bCs/>
          <w:color w:val="244061" w:themeColor="accent1" w:themeShade="80"/>
          <w:sz w:val="20"/>
        </w:rPr>
        <w:t xml:space="preserve">je </w:t>
      </w:r>
      <w:r w:rsidR="00236374" w:rsidRPr="00026E74">
        <w:rPr>
          <w:bCs/>
          <w:color w:val="244061" w:themeColor="accent1" w:themeShade="80"/>
          <w:sz w:val="20"/>
        </w:rPr>
        <w:t>prosječn</w:t>
      </w:r>
      <w:r w:rsidR="004062C7" w:rsidRPr="00026E74">
        <w:rPr>
          <w:bCs/>
          <w:color w:val="244061" w:themeColor="accent1" w:themeShade="80"/>
          <w:sz w:val="20"/>
        </w:rPr>
        <w:t>a</w:t>
      </w:r>
      <w:r w:rsidR="00236374" w:rsidRPr="00026E74">
        <w:rPr>
          <w:bCs/>
          <w:color w:val="244061" w:themeColor="accent1" w:themeShade="80"/>
          <w:sz w:val="20"/>
        </w:rPr>
        <w:t xml:space="preserve"> mjesečn</w:t>
      </w:r>
      <w:r w:rsidR="004062C7" w:rsidRPr="00026E74">
        <w:rPr>
          <w:bCs/>
          <w:color w:val="244061" w:themeColor="accent1" w:themeShade="80"/>
          <w:sz w:val="20"/>
        </w:rPr>
        <w:t>a</w:t>
      </w:r>
      <w:r w:rsidR="00236374" w:rsidRPr="00026E74">
        <w:rPr>
          <w:bCs/>
          <w:color w:val="244061" w:themeColor="accent1" w:themeShade="80"/>
          <w:sz w:val="20"/>
        </w:rPr>
        <w:t xml:space="preserve"> neto plać</w:t>
      </w:r>
      <w:r w:rsidR="004062C7" w:rsidRPr="00026E74">
        <w:rPr>
          <w:bCs/>
          <w:color w:val="244061" w:themeColor="accent1" w:themeShade="80"/>
          <w:sz w:val="20"/>
        </w:rPr>
        <w:t xml:space="preserve">a </w:t>
      </w:r>
      <w:r w:rsidR="00026E74">
        <w:rPr>
          <w:bCs/>
          <w:color w:val="244061" w:themeColor="accent1" w:themeShade="80"/>
          <w:sz w:val="20"/>
        </w:rPr>
        <w:t xml:space="preserve">u iznosu od </w:t>
      </w:r>
      <w:r w:rsidR="004062C7" w:rsidRPr="00026E74">
        <w:rPr>
          <w:bCs/>
          <w:color w:val="244061" w:themeColor="accent1" w:themeShade="80"/>
          <w:sz w:val="20"/>
        </w:rPr>
        <w:t>4.</w:t>
      </w:r>
      <w:r w:rsidR="00026E74" w:rsidRPr="00026E74">
        <w:rPr>
          <w:bCs/>
          <w:color w:val="244061" w:themeColor="accent1" w:themeShade="80"/>
          <w:sz w:val="20"/>
        </w:rPr>
        <w:t>780</w:t>
      </w:r>
      <w:r w:rsidR="004062C7" w:rsidRPr="00026E74">
        <w:rPr>
          <w:bCs/>
          <w:color w:val="244061" w:themeColor="accent1" w:themeShade="80"/>
          <w:sz w:val="20"/>
        </w:rPr>
        <w:t xml:space="preserve"> kun</w:t>
      </w:r>
      <w:r w:rsidR="00026E74" w:rsidRPr="00026E74">
        <w:rPr>
          <w:bCs/>
          <w:color w:val="244061" w:themeColor="accent1" w:themeShade="80"/>
          <w:sz w:val="20"/>
        </w:rPr>
        <w:t>a</w:t>
      </w:r>
      <w:r w:rsidR="00A45AF8" w:rsidRPr="00026E74">
        <w:rPr>
          <w:bCs/>
          <w:color w:val="244061" w:themeColor="accent1" w:themeShade="80"/>
          <w:sz w:val="20"/>
        </w:rPr>
        <w:t xml:space="preserve">, što je </w:t>
      </w:r>
      <w:r w:rsidR="00026E74" w:rsidRPr="00026E74">
        <w:rPr>
          <w:bCs/>
          <w:color w:val="244061" w:themeColor="accent1" w:themeShade="80"/>
          <w:sz w:val="20"/>
        </w:rPr>
        <w:t>za 6,6 % više</w:t>
      </w:r>
      <w:r w:rsidR="004062C7" w:rsidRPr="00026E74">
        <w:rPr>
          <w:bCs/>
          <w:color w:val="244061" w:themeColor="accent1" w:themeShade="80"/>
          <w:sz w:val="20"/>
        </w:rPr>
        <w:t xml:space="preserve"> </w:t>
      </w:r>
      <w:r w:rsidR="00236374" w:rsidRPr="00026E74">
        <w:rPr>
          <w:bCs/>
          <w:color w:val="244061" w:themeColor="accent1" w:themeShade="80"/>
          <w:sz w:val="20"/>
        </w:rPr>
        <w:t>od prosjeka na razini svih poduzetnika sa sjedišt</w:t>
      </w:r>
      <w:r w:rsidR="00026E74" w:rsidRPr="00026E74">
        <w:rPr>
          <w:bCs/>
          <w:color w:val="244061" w:themeColor="accent1" w:themeShade="80"/>
          <w:sz w:val="20"/>
        </w:rPr>
        <w:t xml:space="preserve">em u Urbanoj aglomeraciji Split i </w:t>
      </w:r>
      <w:r w:rsidR="00026E74">
        <w:rPr>
          <w:bCs/>
          <w:color w:val="244061" w:themeColor="accent1" w:themeShade="80"/>
          <w:sz w:val="20"/>
        </w:rPr>
        <w:t xml:space="preserve">za 1,5 % više od </w:t>
      </w:r>
      <w:r w:rsidR="00026E74" w:rsidRPr="00026E74">
        <w:rPr>
          <w:bCs/>
          <w:color w:val="244061" w:themeColor="accent1" w:themeShade="80"/>
          <w:sz w:val="20"/>
        </w:rPr>
        <w:t>prosječne mjesečne plaće zaposlenih kod poduzetnika u Splitsko-dalmatinskoj županiji (4.710 kuna).</w:t>
      </w:r>
    </w:p>
    <w:p w:rsidR="00E65163" w:rsidRDefault="00E65163" w:rsidP="00D415AC">
      <w:pPr>
        <w:widowControl w:val="0"/>
        <w:tabs>
          <w:tab w:val="right" w:pos="9639"/>
        </w:tabs>
        <w:spacing w:after="40"/>
        <w:ind w:left="1134" w:hanging="1134"/>
        <w:jc w:val="left"/>
        <w:rPr>
          <w:rFonts w:cs="Arial"/>
          <w:color w:val="17365D"/>
          <w:sz w:val="16"/>
          <w:szCs w:val="16"/>
        </w:rPr>
      </w:pPr>
      <w:r w:rsidRPr="003E42C5">
        <w:rPr>
          <w:rFonts w:cs="Arial"/>
          <w:b/>
          <w:color w:val="244061"/>
          <w:sz w:val="18"/>
          <w:szCs w:val="18"/>
        </w:rPr>
        <w:t xml:space="preserve">Grafikon </w:t>
      </w:r>
      <w:r w:rsidR="004327E0" w:rsidRPr="003E42C5">
        <w:rPr>
          <w:rFonts w:cs="Arial"/>
          <w:b/>
          <w:color w:val="244061"/>
          <w:sz w:val="18"/>
          <w:szCs w:val="18"/>
        </w:rPr>
        <w:t>3</w:t>
      </w:r>
      <w:r w:rsidRPr="003E42C5">
        <w:rPr>
          <w:rFonts w:cs="Arial"/>
          <w:b/>
          <w:color w:val="244061"/>
          <w:sz w:val="18"/>
          <w:szCs w:val="18"/>
        </w:rPr>
        <w:t>.</w:t>
      </w:r>
      <w:r w:rsidRPr="003E42C5">
        <w:rPr>
          <w:rFonts w:cs="Arial"/>
          <w:b/>
          <w:color w:val="244061"/>
          <w:sz w:val="18"/>
          <w:szCs w:val="18"/>
        </w:rPr>
        <w:tab/>
        <w:t>Prosječna mjesečna neto plaća po zaposlenom u 201</w:t>
      </w:r>
      <w:r w:rsidR="002D009C">
        <w:rPr>
          <w:rFonts w:cs="Arial"/>
          <w:b/>
          <w:color w:val="244061"/>
          <w:sz w:val="18"/>
          <w:szCs w:val="18"/>
        </w:rPr>
        <w:t>7</w:t>
      </w:r>
      <w:r w:rsidRPr="003E42C5">
        <w:rPr>
          <w:rFonts w:cs="Arial"/>
          <w:b/>
          <w:color w:val="244061"/>
          <w:sz w:val="18"/>
          <w:szCs w:val="18"/>
        </w:rPr>
        <w:t xml:space="preserve">. godini </w:t>
      </w:r>
      <w:r w:rsidR="005B563C" w:rsidRPr="003E42C5">
        <w:rPr>
          <w:rFonts w:cs="Arial"/>
          <w:b/>
          <w:color w:val="244061"/>
          <w:sz w:val="18"/>
          <w:szCs w:val="18"/>
        </w:rPr>
        <w:t>u</w:t>
      </w:r>
      <w:r w:rsidRPr="003E42C5">
        <w:rPr>
          <w:rFonts w:cs="Arial"/>
          <w:b/>
          <w:color w:val="244061"/>
          <w:sz w:val="18"/>
          <w:szCs w:val="18"/>
        </w:rPr>
        <w:t xml:space="preserve"> </w:t>
      </w:r>
      <w:r w:rsidR="009525E8">
        <w:rPr>
          <w:rFonts w:cs="Arial"/>
          <w:b/>
          <w:color w:val="244061"/>
          <w:sz w:val="18"/>
          <w:szCs w:val="18"/>
        </w:rPr>
        <w:t xml:space="preserve">TOP 5 </w:t>
      </w:r>
      <w:r w:rsidRPr="003E42C5">
        <w:rPr>
          <w:rFonts w:cs="Arial"/>
          <w:b/>
          <w:color w:val="244061"/>
          <w:sz w:val="18"/>
          <w:szCs w:val="18"/>
        </w:rPr>
        <w:t xml:space="preserve">gradova i općina Urbane aglomeracije </w:t>
      </w:r>
      <w:r w:rsidR="004B733C" w:rsidRPr="003E42C5">
        <w:rPr>
          <w:rFonts w:cs="Arial"/>
          <w:b/>
          <w:color w:val="244061"/>
          <w:sz w:val="18"/>
          <w:szCs w:val="18"/>
        </w:rPr>
        <w:t>Split</w:t>
      </w:r>
      <w:r w:rsidR="00373F98">
        <w:rPr>
          <w:rFonts w:cs="Arial"/>
          <w:b/>
          <w:color w:val="244061"/>
          <w:sz w:val="18"/>
          <w:szCs w:val="18"/>
        </w:rPr>
        <w:t>, Splitsko-dalmatinskoj županiji i RH</w:t>
      </w:r>
      <w:r w:rsidRPr="00A77A2F">
        <w:rPr>
          <w:rFonts w:cs="Arial"/>
          <w:color w:val="17365D"/>
          <w:sz w:val="19"/>
          <w:szCs w:val="19"/>
        </w:rPr>
        <w:tab/>
      </w:r>
      <w:r w:rsidRPr="00A77A2F">
        <w:rPr>
          <w:rFonts w:cs="Arial"/>
          <w:color w:val="17365D"/>
          <w:sz w:val="16"/>
          <w:szCs w:val="16"/>
        </w:rPr>
        <w:t>(iznosi u k</w:t>
      </w:r>
      <w:r w:rsidR="009525E8">
        <w:rPr>
          <w:rFonts w:cs="Arial"/>
          <w:color w:val="17365D"/>
          <w:sz w:val="16"/>
          <w:szCs w:val="16"/>
        </w:rPr>
        <w:t>unama</w:t>
      </w:r>
      <w:r w:rsidRPr="00A77A2F">
        <w:rPr>
          <w:rFonts w:cs="Arial"/>
          <w:color w:val="17365D"/>
          <w:sz w:val="16"/>
          <w:szCs w:val="16"/>
        </w:rPr>
        <w:t>)</w:t>
      </w:r>
    </w:p>
    <w:p w:rsidR="00E65163" w:rsidRPr="00A218D6" w:rsidRDefault="00D415AC" w:rsidP="00066955">
      <w:pPr>
        <w:widowControl w:val="0"/>
        <w:tabs>
          <w:tab w:val="right" w:pos="9639"/>
        </w:tabs>
        <w:spacing w:before="0"/>
        <w:ind w:left="1134" w:hanging="1134"/>
        <w:jc w:val="left"/>
        <w:rPr>
          <w:rFonts w:cs="Arial"/>
          <w:color w:val="17365D"/>
          <w:sz w:val="16"/>
          <w:szCs w:val="16"/>
        </w:rPr>
      </w:pPr>
      <w:r>
        <w:rPr>
          <w:rFonts w:cs="Arial"/>
          <w:noProof/>
          <w:color w:val="17365D"/>
          <w:sz w:val="16"/>
          <w:szCs w:val="16"/>
        </w:rPr>
        <w:drawing>
          <wp:inline distT="0" distB="0" distL="0" distR="0" wp14:anchorId="0FF745DD">
            <wp:extent cx="6159742" cy="2592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9742" cy="2592000"/>
                    </a:xfrm>
                    <a:prstGeom prst="rect">
                      <a:avLst/>
                    </a:prstGeom>
                    <a:noFill/>
                  </pic:spPr>
                </pic:pic>
              </a:graphicData>
            </a:graphic>
          </wp:inline>
        </w:drawing>
      </w:r>
    </w:p>
    <w:p w:rsidR="00E65163" w:rsidRDefault="00E65163" w:rsidP="00B04BFA">
      <w:pPr>
        <w:spacing w:before="0"/>
        <w:jc w:val="left"/>
        <w:rPr>
          <w:bCs/>
          <w:i/>
          <w:color w:val="244061"/>
          <w:sz w:val="16"/>
          <w:szCs w:val="16"/>
        </w:rPr>
      </w:pPr>
      <w:r w:rsidRPr="00E030D7">
        <w:rPr>
          <w:bCs/>
          <w:i/>
          <w:color w:val="244061"/>
          <w:sz w:val="16"/>
          <w:szCs w:val="16"/>
        </w:rPr>
        <w:t>Izvor: Fina, Registar godišnjih financijskih izvještaja</w:t>
      </w:r>
      <w:r w:rsidR="003E42C5">
        <w:rPr>
          <w:bCs/>
          <w:i/>
          <w:color w:val="244061"/>
          <w:sz w:val="16"/>
          <w:szCs w:val="16"/>
        </w:rPr>
        <w:t xml:space="preserve">, </w:t>
      </w:r>
      <w:r w:rsidR="003E42C5" w:rsidRPr="003E42C5">
        <w:rPr>
          <w:bCs/>
          <w:i/>
          <w:color w:val="244061"/>
          <w:sz w:val="16"/>
          <w:szCs w:val="16"/>
        </w:rPr>
        <w:t>obrada GFI-a za 201</w:t>
      </w:r>
      <w:r w:rsidR="002D009C">
        <w:rPr>
          <w:bCs/>
          <w:i/>
          <w:color w:val="244061"/>
          <w:sz w:val="16"/>
          <w:szCs w:val="16"/>
        </w:rPr>
        <w:t>7</w:t>
      </w:r>
      <w:r w:rsidR="003E42C5" w:rsidRPr="003E42C5">
        <w:rPr>
          <w:bCs/>
          <w:i/>
          <w:color w:val="244061"/>
          <w:sz w:val="16"/>
          <w:szCs w:val="16"/>
        </w:rPr>
        <w:t xml:space="preserve">. </w:t>
      </w:r>
      <w:r w:rsidR="005C679A">
        <w:rPr>
          <w:bCs/>
          <w:i/>
          <w:color w:val="244061"/>
          <w:sz w:val="16"/>
          <w:szCs w:val="16"/>
        </w:rPr>
        <w:t>g</w:t>
      </w:r>
      <w:r w:rsidR="003E42C5" w:rsidRPr="003E42C5">
        <w:rPr>
          <w:bCs/>
          <w:i/>
          <w:color w:val="244061"/>
          <w:sz w:val="16"/>
          <w:szCs w:val="16"/>
        </w:rPr>
        <w:t>odinu</w:t>
      </w:r>
    </w:p>
    <w:p w:rsidR="00D415AC" w:rsidRPr="00D415AC" w:rsidRDefault="00D415AC" w:rsidP="00D415AC">
      <w:pPr>
        <w:spacing w:after="120" w:line="276" w:lineRule="auto"/>
        <w:rPr>
          <w:rFonts w:eastAsia="Calibri" w:cs="Arial"/>
          <w:b/>
          <w:color w:val="244061"/>
          <w:sz w:val="20"/>
          <w:lang w:eastAsia="en-US"/>
        </w:rPr>
      </w:pPr>
      <w:r w:rsidRPr="00D415AC">
        <w:rPr>
          <w:rFonts w:eastAsiaTheme="minorHAnsi" w:cs="Arial"/>
          <w:color w:val="104160"/>
          <w:sz w:val="20"/>
          <w:lang w:eastAsia="en-US"/>
        </w:rPr>
        <w:t>Za usporedbu, prosječna mjesečna neto plaća zaposlenih kod poduzetnika na razini RH u 2017. godini iznosila je 5.372 kune, što je 19,8 % više u odnosu na prosječnu mjesečnu neto plaću na razini Urbane aglomeracije Split (4.486 kuna) i 14,1 % više u odnosu na prosječnu mjesečnu neto plaću na razini Splitsko-dalmatinske županije (4.710 kuna).</w:t>
      </w:r>
    </w:p>
    <w:p w:rsidR="003E42C5" w:rsidRPr="003E42C5" w:rsidRDefault="003E42C5" w:rsidP="003E42C5">
      <w:pPr>
        <w:pBdr>
          <w:bottom w:val="single" w:sz="12" w:space="1" w:color="auto"/>
        </w:pBdr>
        <w:spacing w:before="0" w:line="276" w:lineRule="auto"/>
        <w:jc w:val="left"/>
        <w:rPr>
          <w:i/>
          <w:color w:val="1F497D"/>
          <w:sz w:val="2"/>
          <w:szCs w:val="16"/>
        </w:rPr>
      </w:pPr>
    </w:p>
    <w:p w:rsidR="003E42C5" w:rsidRPr="00026E74" w:rsidRDefault="003E42C5" w:rsidP="00673F14">
      <w:pPr>
        <w:spacing w:before="60"/>
        <w:rPr>
          <w:rFonts w:cs="Arial"/>
          <w:b/>
          <w:i/>
          <w:color w:val="17365D"/>
          <w:sz w:val="17"/>
          <w:szCs w:val="17"/>
        </w:rPr>
      </w:pPr>
      <w:r w:rsidRPr="00026E74">
        <w:rPr>
          <w:rFonts w:cs="Arial"/>
          <w:b/>
          <w:i/>
          <w:color w:val="17365D"/>
          <w:sz w:val="17"/>
          <w:szCs w:val="17"/>
        </w:rPr>
        <w:t>O urbanim aglomeracijama i većim i manjim urbanim područjima</w:t>
      </w:r>
    </w:p>
    <w:p w:rsidR="003E42C5" w:rsidRPr="00026E74" w:rsidRDefault="003E42C5" w:rsidP="00E33C27">
      <w:pPr>
        <w:tabs>
          <w:tab w:val="left" w:pos="567"/>
        </w:tabs>
        <w:spacing w:before="60" w:line="264" w:lineRule="auto"/>
        <w:rPr>
          <w:rFonts w:cs="Arial"/>
          <w:color w:val="244061"/>
          <w:sz w:val="17"/>
          <w:szCs w:val="17"/>
        </w:rPr>
      </w:pPr>
      <w:r w:rsidRPr="00026E74">
        <w:rPr>
          <w:rFonts w:cs="Arial"/>
          <w:color w:val="244061"/>
          <w:sz w:val="17"/>
          <w:szCs w:val="17"/>
        </w:rPr>
        <w:t>Izdvajanje urbanih (i ruralnih odnosno ruralnih i mješovitih) područja predstavlja jedan od izazovnijih zadataka suvremene politike regionalnog razvoja. Vrlo često se urbana područja odnosno granice urbanih područja određuju ovisno o namjeni i nisu izdvojena jednom jedinstvenom definicijom. Za politiku regionalnog razvoja izdvajanje urbanih područja znači naći kompromis između različitih sektora, lokalnih želja za uključivanjem/isključivanjem dijela teritorija u urbani prostor i administrativnih granica (koje osiguravaju pravo odlučivanja u nekom prostoru). Zakon o regionalnom razvoju odredio je tri tipa urbanih područja</w:t>
      </w:r>
      <w:r w:rsidRPr="00026E74">
        <w:rPr>
          <w:rStyle w:val="Referencafusnote"/>
          <w:rFonts w:cs="Arial"/>
          <w:color w:val="244061" w:themeColor="accent1" w:themeShade="80"/>
          <w:sz w:val="17"/>
          <w:szCs w:val="17"/>
        </w:rPr>
        <w:footnoteReference w:id="4"/>
      </w:r>
      <w:r w:rsidRPr="00026E74">
        <w:rPr>
          <w:rFonts w:cs="Arial"/>
          <w:color w:val="244061"/>
          <w:sz w:val="17"/>
          <w:szCs w:val="17"/>
        </w:rPr>
        <w:t>:</w:t>
      </w:r>
    </w:p>
    <w:p w:rsidR="003E42C5" w:rsidRPr="00026E74" w:rsidRDefault="003E42C5" w:rsidP="00026E74">
      <w:pPr>
        <w:pStyle w:val="Odlomakpopisa"/>
        <w:numPr>
          <w:ilvl w:val="0"/>
          <w:numId w:val="2"/>
        </w:numPr>
        <w:tabs>
          <w:tab w:val="left" w:pos="567"/>
        </w:tabs>
        <w:spacing w:before="40" w:line="264" w:lineRule="auto"/>
        <w:ind w:left="284" w:hanging="284"/>
        <w:contextualSpacing w:val="0"/>
        <w:rPr>
          <w:rFonts w:cs="Arial"/>
          <w:color w:val="244061"/>
          <w:sz w:val="17"/>
          <w:szCs w:val="17"/>
        </w:rPr>
      </w:pPr>
      <w:r w:rsidRPr="00026E74">
        <w:rPr>
          <w:rFonts w:cs="Arial"/>
          <w:b/>
          <w:color w:val="244061"/>
          <w:sz w:val="17"/>
          <w:szCs w:val="17"/>
        </w:rPr>
        <w:t>4 gradske aglomeracije</w:t>
      </w:r>
      <w:r w:rsidRPr="00026E74">
        <w:rPr>
          <w:rFonts w:cs="Arial"/>
          <w:color w:val="244061"/>
          <w:sz w:val="17"/>
          <w:szCs w:val="17"/>
        </w:rPr>
        <w:t xml:space="preserve"> (sjedišta u Zagrebu, Splitu, Rijeci i Osijeku)</w:t>
      </w:r>
    </w:p>
    <w:p w:rsidR="003E42C5" w:rsidRPr="00026E74" w:rsidRDefault="003E42C5" w:rsidP="00E33C27">
      <w:pPr>
        <w:pStyle w:val="Odlomakpopisa"/>
        <w:numPr>
          <w:ilvl w:val="0"/>
          <w:numId w:val="2"/>
        </w:numPr>
        <w:spacing w:before="0" w:line="264" w:lineRule="auto"/>
        <w:ind w:left="284" w:hanging="284"/>
        <w:contextualSpacing w:val="0"/>
        <w:rPr>
          <w:rFonts w:cs="Arial"/>
          <w:color w:val="244061"/>
          <w:sz w:val="17"/>
          <w:szCs w:val="17"/>
        </w:rPr>
      </w:pPr>
      <w:r w:rsidRPr="00026E74">
        <w:rPr>
          <w:rFonts w:cs="Arial"/>
          <w:b/>
          <w:color w:val="244061"/>
          <w:sz w:val="17"/>
          <w:szCs w:val="17"/>
        </w:rPr>
        <w:t>veća urbana područja</w:t>
      </w:r>
      <w:r w:rsidRPr="00026E74">
        <w:rPr>
          <w:rFonts w:cs="Arial"/>
          <w:color w:val="244061"/>
          <w:sz w:val="17"/>
          <w:szCs w:val="17"/>
        </w:rPr>
        <w:t xml:space="preserve"> - gradovi koji na razini jedinica lokalne samouprave imaju više od 35</w:t>
      </w:r>
      <w:r w:rsidR="00E05041" w:rsidRPr="00026E74">
        <w:rPr>
          <w:rFonts w:cs="Arial"/>
          <w:color w:val="244061"/>
          <w:sz w:val="17"/>
          <w:szCs w:val="17"/>
        </w:rPr>
        <w:t> </w:t>
      </w:r>
      <w:r w:rsidRPr="00026E74">
        <w:rPr>
          <w:rFonts w:cs="Arial"/>
          <w:color w:val="244061"/>
          <w:sz w:val="17"/>
          <w:szCs w:val="17"/>
        </w:rPr>
        <w:t>000 stanovnika, a nisu uključeni u urbane aglomeracije</w:t>
      </w:r>
    </w:p>
    <w:p w:rsidR="002C23FA" w:rsidRPr="00026E74" w:rsidRDefault="003E42C5" w:rsidP="00026E74">
      <w:pPr>
        <w:pStyle w:val="Odlomakpopisa"/>
        <w:numPr>
          <w:ilvl w:val="0"/>
          <w:numId w:val="2"/>
        </w:numPr>
        <w:pBdr>
          <w:bottom w:val="single" w:sz="12" w:space="1" w:color="auto"/>
        </w:pBdr>
        <w:spacing w:before="0" w:after="40"/>
        <w:ind w:left="284" w:hanging="284"/>
        <w:contextualSpacing w:val="0"/>
        <w:rPr>
          <w:color w:val="1F497D"/>
          <w:sz w:val="16"/>
          <w:szCs w:val="16"/>
        </w:rPr>
      </w:pPr>
      <w:r w:rsidRPr="00026E74">
        <w:rPr>
          <w:rFonts w:cs="Arial"/>
          <w:b/>
          <w:color w:val="244061"/>
          <w:sz w:val="17"/>
          <w:szCs w:val="17"/>
        </w:rPr>
        <w:t>manja urbana područja</w:t>
      </w:r>
      <w:r w:rsidRPr="00026E74">
        <w:rPr>
          <w:rFonts w:cs="Arial"/>
          <w:color w:val="244061"/>
          <w:sz w:val="17"/>
          <w:szCs w:val="17"/>
        </w:rPr>
        <w:t xml:space="preserve"> - gradovi koji imaju manje od 35</w:t>
      </w:r>
      <w:r w:rsidR="00E05041" w:rsidRPr="00026E74">
        <w:rPr>
          <w:rFonts w:cs="Arial"/>
          <w:color w:val="244061"/>
          <w:sz w:val="17"/>
          <w:szCs w:val="17"/>
        </w:rPr>
        <w:t> </w:t>
      </w:r>
      <w:r w:rsidRPr="00026E74">
        <w:rPr>
          <w:rFonts w:cs="Arial"/>
          <w:color w:val="244061"/>
          <w:sz w:val="17"/>
          <w:szCs w:val="17"/>
        </w:rPr>
        <w:t>000 stanovnika, ali njihova središnja naselja imaju više od 10</w:t>
      </w:r>
      <w:r w:rsidR="00E05041" w:rsidRPr="00026E74">
        <w:rPr>
          <w:rFonts w:cs="Arial"/>
          <w:color w:val="244061"/>
          <w:sz w:val="17"/>
          <w:szCs w:val="17"/>
        </w:rPr>
        <w:t> </w:t>
      </w:r>
      <w:r w:rsidRPr="00026E74">
        <w:rPr>
          <w:rFonts w:cs="Arial"/>
          <w:color w:val="244061"/>
          <w:sz w:val="17"/>
          <w:szCs w:val="17"/>
        </w:rPr>
        <w:t>000 stanovnika ili su sjedišta županija</w:t>
      </w:r>
      <w:r w:rsidRPr="00026E74">
        <w:rPr>
          <w:rFonts w:cs="Arial"/>
          <w:color w:val="244061"/>
          <w:sz w:val="16"/>
          <w:szCs w:val="16"/>
        </w:rPr>
        <w:t>.</w:t>
      </w:r>
    </w:p>
    <w:p w:rsidR="00E33C27" w:rsidRDefault="004327E0" w:rsidP="00806D40">
      <w:pPr>
        <w:jc w:val="left"/>
        <w:rPr>
          <w:rFonts w:cs="Arial"/>
          <w:i/>
          <w:color w:val="17365D"/>
          <w:sz w:val="17"/>
          <w:szCs w:val="17"/>
        </w:rPr>
      </w:pPr>
      <w:r w:rsidRPr="00132FFE">
        <w:rPr>
          <w:rFonts w:cs="Arial"/>
          <w:i/>
          <w:color w:val="17365D"/>
          <w:sz w:val="17"/>
          <w:szCs w:val="17"/>
        </w:rPr>
        <w:t xml:space="preserve">Više o rezultatima poslovanja poduzetnika po područjima djelatnosti i po drugim kriterijima, prezentirano je u </w:t>
      </w:r>
      <w:hyperlink r:id="rId24" w:history="1">
        <w:r w:rsidRPr="00132FFE">
          <w:rPr>
            <w:rFonts w:cs="Arial"/>
            <w:i/>
            <w:color w:val="0000BF"/>
            <w:sz w:val="17"/>
            <w:szCs w:val="17"/>
            <w:u w:val="single"/>
          </w:rPr>
          <w:t>standardnim analizama</w:t>
        </w:r>
      </w:hyperlink>
      <w:r w:rsidRPr="00132FFE">
        <w:rPr>
          <w:rFonts w:cs="Arial"/>
          <w:i/>
          <w:color w:val="17365D"/>
          <w:sz w:val="17"/>
          <w:szCs w:val="17"/>
        </w:rPr>
        <w:t xml:space="preserve"> rezultata poslovanja poduzetnika RH, po županijama i po gradovima i općinama u 201</w:t>
      </w:r>
      <w:r w:rsidR="002D009C">
        <w:rPr>
          <w:rFonts w:cs="Arial"/>
          <w:i/>
          <w:color w:val="17365D"/>
          <w:sz w:val="17"/>
          <w:szCs w:val="17"/>
        </w:rPr>
        <w:t>7</w:t>
      </w:r>
      <w:r w:rsidRPr="00132FFE">
        <w:rPr>
          <w:rFonts w:cs="Arial"/>
          <w:i/>
          <w:color w:val="17365D"/>
          <w:sz w:val="17"/>
          <w:szCs w:val="17"/>
        </w:rPr>
        <w:t xml:space="preserve">. g. </w:t>
      </w:r>
    </w:p>
    <w:p w:rsidR="004327E0" w:rsidRDefault="004327E0" w:rsidP="00806D40">
      <w:pPr>
        <w:spacing w:before="120"/>
        <w:jc w:val="left"/>
        <w:rPr>
          <w:rFonts w:eastAsia="Calibri" w:cs="Arial"/>
          <w:i/>
          <w:color w:val="0000FF"/>
          <w:sz w:val="17"/>
          <w:szCs w:val="17"/>
          <w:u w:val="single"/>
        </w:rPr>
      </w:pPr>
      <w:r w:rsidRPr="00132FFE">
        <w:rPr>
          <w:rFonts w:cs="Arial"/>
          <w:i/>
          <w:color w:val="17365D"/>
          <w:sz w:val="17"/>
          <w:szCs w:val="17"/>
        </w:rPr>
        <w:t>Pojedinačni podaci o rezultatima poslovanja poduzetnika dostupni su besplatno na</w:t>
      </w:r>
      <w:r w:rsidRPr="00132FFE">
        <w:rPr>
          <w:rFonts w:eastAsia="Calibri" w:cs="Arial"/>
          <w:i/>
          <w:color w:val="17365D"/>
          <w:sz w:val="17"/>
          <w:szCs w:val="17"/>
        </w:rPr>
        <w:t xml:space="preserve"> </w:t>
      </w:r>
      <w:hyperlink r:id="rId25" w:history="1">
        <w:r w:rsidRPr="00132FFE">
          <w:rPr>
            <w:rFonts w:eastAsia="Calibri" w:cs="Arial"/>
            <w:i/>
            <w:color w:val="0000FF"/>
            <w:sz w:val="17"/>
            <w:szCs w:val="17"/>
            <w:u w:val="single"/>
          </w:rPr>
          <w:t>RGFI – javna objava</w:t>
        </w:r>
      </w:hyperlink>
      <w:r w:rsidRPr="00132FFE">
        <w:rPr>
          <w:rFonts w:eastAsia="Calibri" w:cs="Arial"/>
          <w:i/>
          <w:color w:val="0F243E"/>
          <w:sz w:val="17"/>
          <w:szCs w:val="17"/>
        </w:rPr>
        <w:t xml:space="preserve"> </w:t>
      </w:r>
      <w:r w:rsidRPr="00132FFE">
        <w:rPr>
          <w:rFonts w:cs="Arial"/>
          <w:i/>
          <w:color w:val="17375E"/>
          <w:sz w:val="17"/>
          <w:szCs w:val="17"/>
        </w:rPr>
        <w:t>i na</w:t>
      </w:r>
      <w:r w:rsidRPr="00132FFE">
        <w:rPr>
          <w:rFonts w:eastAsia="Calibri" w:cs="Arial"/>
          <w:i/>
          <w:color w:val="0F243E"/>
          <w:sz w:val="17"/>
          <w:szCs w:val="17"/>
        </w:rPr>
        <w:t xml:space="preserve"> </w:t>
      </w:r>
      <w:hyperlink r:id="rId26" w:history="1">
        <w:r w:rsidRPr="00132FFE">
          <w:rPr>
            <w:rFonts w:eastAsia="Calibri" w:cs="Arial"/>
            <w:i/>
            <w:color w:val="0000FF"/>
            <w:sz w:val="17"/>
            <w:szCs w:val="17"/>
            <w:u w:val="single"/>
          </w:rPr>
          <w:t>Transparentno.hr</w:t>
        </w:r>
      </w:hyperlink>
      <w:r w:rsidR="002C23FA">
        <w:rPr>
          <w:rFonts w:eastAsia="Calibri" w:cs="Arial"/>
          <w:i/>
          <w:color w:val="0000FF"/>
          <w:sz w:val="17"/>
          <w:szCs w:val="17"/>
          <w:u w:val="single"/>
        </w:rPr>
        <w:t xml:space="preserve"> </w:t>
      </w:r>
    </w:p>
    <w:p w:rsidR="002C23FA" w:rsidRPr="002C23FA" w:rsidRDefault="002C23FA" w:rsidP="00806D40">
      <w:pPr>
        <w:spacing w:before="120"/>
        <w:jc w:val="left"/>
        <w:rPr>
          <w:rFonts w:eastAsia="Calibri" w:cs="Arial"/>
          <w:i/>
          <w:color w:val="0000FF"/>
          <w:sz w:val="17"/>
          <w:szCs w:val="17"/>
        </w:rPr>
      </w:pPr>
      <w:r w:rsidRPr="002C23FA">
        <w:rPr>
          <w:rFonts w:eastAsia="Calibri" w:cs="Arial"/>
          <w:bCs/>
          <w:i/>
          <w:color w:val="17365D"/>
          <w:sz w:val="17"/>
          <w:szCs w:val="17"/>
          <w:lang w:eastAsia="en-US"/>
        </w:rPr>
        <w:t xml:space="preserve">Informacija o tome je li poslovni subjekt u blokadi ili ne, dostupna je korištenjem usluge </w:t>
      </w:r>
      <w:hyperlink r:id="rId27" w:history="1">
        <w:r w:rsidRPr="002C23FA">
          <w:rPr>
            <w:rFonts w:eastAsia="Calibri" w:cs="Arial"/>
            <w:bCs/>
            <w:i/>
            <w:color w:val="0000FF"/>
            <w:sz w:val="17"/>
            <w:szCs w:val="17"/>
            <w:u w:val="single"/>
            <w:lang w:eastAsia="en-US"/>
          </w:rPr>
          <w:t>FINA InfoBlokade</w:t>
        </w:r>
      </w:hyperlink>
      <w:r w:rsidRPr="002C23FA">
        <w:rPr>
          <w:rFonts w:eastAsia="Calibri" w:cs="Arial"/>
          <w:bCs/>
          <w:i/>
          <w:color w:val="17365D"/>
          <w:sz w:val="17"/>
          <w:szCs w:val="17"/>
          <w:lang w:eastAsia="en-US"/>
        </w:rPr>
        <w:t xml:space="preserve"> slanjem SMS poruke na broj 818058, te korištenjem </w:t>
      </w:r>
      <w:hyperlink r:id="rId28" w:history="1">
        <w:r w:rsidRPr="002C23FA">
          <w:rPr>
            <w:rFonts w:eastAsia="Calibri" w:cs="Arial"/>
            <w:bCs/>
            <w:i/>
            <w:color w:val="0000FF"/>
            <w:sz w:val="17"/>
            <w:szCs w:val="17"/>
            <w:u w:val="single"/>
            <w:lang w:eastAsia="en-US"/>
          </w:rPr>
          <w:t>WEB aplikacije JRR</w:t>
        </w:r>
      </w:hyperlink>
      <w:r w:rsidRPr="002C23FA">
        <w:rPr>
          <w:rFonts w:eastAsia="Calibri" w:cs="Arial"/>
          <w:bCs/>
          <w:i/>
          <w:color w:val="17365D"/>
          <w:sz w:val="17"/>
          <w:szCs w:val="17"/>
          <w:lang w:eastAsia="en-US"/>
        </w:rPr>
        <w:t xml:space="preserve"> tj. uvidom u podatke o računima i statusu blokade poslovnih subjekata, koji se ažuriraju u </w:t>
      </w:r>
      <w:hyperlink r:id="rId29" w:history="1">
        <w:r w:rsidRPr="002C23FA">
          <w:rPr>
            <w:rFonts w:eastAsia="Calibri" w:cs="Arial"/>
            <w:bCs/>
            <w:i/>
            <w:color w:val="0000FF"/>
            <w:sz w:val="17"/>
            <w:szCs w:val="17"/>
            <w:u w:val="single"/>
            <w:lang w:eastAsia="en-US"/>
          </w:rPr>
          <w:t>Jedinstvenom registru računa</w:t>
        </w:r>
      </w:hyperlink>
      <w:r w:rsidRPr="002C23FA">
        <w:rPr>
          <w:rFonts w:eastAsia="Calibri" w:cs="Arial"/>
          <w:bCs/>
          <w:i/>
          <w:color w:val="17365D"/>
          <w:sz w:val="17"/>
          <w:szCs w:val="17"/>
          <w:lang w:eastAsia="en-US"/>
        </w:rPr>
        <w:t xml:space="preserve"> kojega u skladu sa zakonskim propisima, od 2002. godine, vodi Financijska ag</w:t>
      </w:r>
      <w:r>
        <w:rPr>
          <w:rFonts w:eastAsia="Calibri" w:cs="Arial"/>
          <w:bCs/>
          <w:i/>
          <w:color w:val="17365D"/>
          <w:sz w:val="17"/>
          <w:szCs w:val="17"/>
          <w:lang w:eastAsia="en-US"/>
        </w:rPr>
        <w:t>encija.</w:t>
      </w:r>
    </w:p>
    <w:sectPr w:rsidR="002C23FA" w:rsidRPr="002C23FA" w:rsidSect="00E236D7">
      <w:headerReference w:type="default" r:id="rId3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9B" w:rsidRDefault="007B4C9B" w:rsidP="00E65163">
      <w:pPr>
        <w:spacing w:before="0"/>
      </w:pPr>
      <w:r>
        <w:separator/>
      </w:r>
    </w:p>
  </w:endnote>
  <w:endnote w:type="continuationSeparator" w:id="0">
    <w:p w:rsidR="007B4C9B" w:rsidRDefault="007B4C9B" w:rsidP="00E651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9B" w:rsidRDefault="007B4C9B" w:rsidP="00E65163">
      <w:pPr>
        <w:spacing w:before="0"/>
      </w:pPr>
      <w:r>
        <w:separator/>
      </w:r>
    </w:p>
  </w:footnote>
  <w:footnote w:type="continuationSeparator" w:id="0">
    <w:p w:rsidR="007B4C9B" w:rsidRDefault="007B4C9B" w:rsidP="00E65163">
      <w:pPr>
        <w:spacing w:before="0"/>
      </w:pPr>
      <w:r>
        <w:continuationSeparator/>
      </w:r>
    </w:p>
  </w:footnote>
  <w:footnote w:id="1">
    <w:p w:rsidR="00C87485" w:rsidRPr="00853073" w:rsidRDefault="00C87485" w:rsidP="007504A3">
      <w:pPr>
        <w:pStyle w:val="Tekstfusnote"/>
        <w:spacing w:before="0"/>
        <w:jc w:val="left"/>
        <w:rPr>
          <w:sz w:val="17"/>
          <w:szCs w:val="17"/>
        </w:rPr>
      </w:pPr>
      <w:r w:rsidRPr="00853073">
        <w:rPr>
          <w:rStyle w:val="Referencafusnote"/>
          <w:sz w:val="17"/>
          <w:szCs w:val="17"/>
        </w:rPr>
        <w:footnoteRef/>
      </w:r>
      <w:r w:rsidRPr="00853073">
        <w:rPr>
          <w:sz w:val="17"/>
          <w:szCs w:val="17"/>
        </w:rPr>
        <w:t xml:space="preserve"> </w:t>
      </w:r>
      <w:r w:rsidRPr="00853073">
        <w:rPr>
          <w:rFonts w:cs="Arial"/>
          <w:color w:val="244061" w:themeColor="accent1" w:themeShade="80"/>
          <w:sz w:val="17"/>
          <w:szCs w:val="17"/>
        </w:rPr>
        <w:t>Usvajanjem novog Zakona o regionalnom razvoju (NN, 147/14), koji je u primjeni od 1. siječnja 2015. godine, uvedena je mogućnost stvaranja urbanih aglomeracija oko četiri najveća hrvatska grada: Zagreba, Splita, Rijeke i Osijeka, uz mogućnost širenja i na druge veće gradove, s ciljem ostvarenja strategije Europske unije do 2020. godine. Strategijom se posebna važnost daje urbanim sredinama, kojima se kroz urbane aglomeracije nastoji povećati konkurentnost na globalnom tržištu te kroz mehanizam Integriranih teritorijalnih ulaganja (ITU) osigurati dodatna sredstva iz europskih fondova. Podaci pokazuju da oko 70</w:t>
      </w:r>
      <w:r w:rsidR="009E1CD1">
        <w:rPr>
          <w:rFonts w:cs="Arial"/>
          <w:color w:val="244061" w:themeColor="accent1" w:themeShade="80"/>
          <w:sz w:val="17"/>
          <w:szCs w:val="17"/>
        </w:rPr>
        <w:t xml:space="preserve"> </w:t>
      </w:r>
      <w:r w:rsidRPr="00853073">
        <w:rPr>
          <w:rFonts w:cs="Arial"/>
          <w:color w:val="244061" w:themeColor="accent1" w:themeShade="80"/>
          <w:sz w:val="17"/>
          <w:szCs w:val="17"/>
        </w:rPr>
        <w:t>% stanovništva EU živi u urbanim područjima. Izvor: FERATA</w:t>
      </w:r>
      <w:r>
        <w:rPr>
          <w:rFonts w:cs="Arial"/>
          <w:color w:val="244061" w:themeColor="accent1" w:themeShade="80"/>
          <w:sz w:val="17"/>
          <w:szCs w:val="17"/>
        </w:rPr>
        <w:t xml:space="preserve">, </w:t>
      </w:r>
      <w:r w:rsidRPr="00853073">
        <w:rPr>
          <w:rFonts w:cs="Arial"/>
          <w:color w:val="244061" w:themeColor="accent1" w:themeShade="80"/>
          <w:sz w:val="17"/>
          <w:szCs w:val="17"/>
        </w:rPr>
        <w:t xml:space="preserve">preuzeto </w:t>
      </w:r>
      <w:r>
        <w:rPr>
          <w:rFonts w:cs="Arial"/>
          <w:color w:val="244061" w:themeColor="accent1" w:themeShade="80"/>
          <w:sz w:val="17"/>
          <w:szCs w:val="17"/>
        </w:rPr>
        <w:t>23</w:t>
      </w:r>
      <w:r w:rsidRPr="00853073">
        <w:rPr>
          <w:rFonts w:cs="Arial"/>
          <w:color w:val="244061" w:themeColor="accent1" w:themeShade="80"/>
          <w:sz w:val="17"/>
          <w:szCs w:val="17"/>
        </w:rPr>
        <w:t>.</w:t>
      </w:r>
      <w:r>
        <w:rPr>
          <w:rFonts w:cs="Arial"/>
          <w:color w:val="244061" w:themeColor="accent1" w:themeShade="80"/>
          <w:sz w:val="17"/>
          <w:szCs w:val="17"/>
        </w:rPr>
        <w:t xml:space="preserve"> travnja </w:t>
      </w:r>
      <w:r w:rsidRPr="00853073">
        <w:rPr>
          <w:rFonts w:cs="Arial"/>
          <w:color w:val="244061" w:themeColor="accent1" w:themeShade="80"/>
          <w:sz w:val="17"/>
          <w:szCs w:val="17"/>
        </w:rPr>
        <w:t>201</w:t>
      </w:r>
      <w:r>
        <w:rPr>
          <w:rFonts w:cs="Arial"/>
          <w:color w:val="244061" w:themeColor="accent1" w:themeShade="80"/>
          <w:sz w:val="17"/>
          <w:szCs w:val="17"/>
        </w:rPr>
        <w:t>9</w:t>
      </w:r>
      <w:r w:rsidRPr="00853073">
        <w:rPr>
          <w:rFonts w:cs="Arial"/>
          <w:color w:val="244061" w:themeColor="accent1" w:themeShade="80"/>
          <w:sz w:val="17"/>
          <w:szCs w:val="17"/>
        </w:rPr>
        <w:t>.</w:t>
      </w:r>
    </w:p>
  </w:footnote>
  <w:footnote w:id="2">
    <w:p w:rsidR="00C87485" w:rsidRPr="00853073" w:rsidRDefault="00C87485" w:rsidP="009E1CD1">
      <w:pPr>
        <w:spacing w:before="40"/>
        <w:jc w:val="left"/>
        <w:rPr>
          <w:sz w:val="17"/>
          <w:szCs w:val="17"/>
        </w:rPr>
      </w:pPr>
      <w:r w:rsidRPr="00853073">
        <w:rPr>
          <w:rStyle w:val="Referencafusnote"/>
          <w:sz w:val="17"/>
          <w:szCs w:val="17"/>
        </w:rPr>
        <w:footnoteRef/>
      </w:r>
      <w:r w:rsidRPr="00853073">
        <w:rPr>
          <w:sz w:val="17"/>
          <w:szCs w:val="17"/>
        </w:rPr>
        <w:t xml:space="preserve"> </w:t>
      </w:r>
      <w:r w:rsidRPr="00853073">
        <w:rPr>
          <w:rFonts w:cs="Arial"/>
          <w:color w:val="244061" w:themeColor="accent1" w:themeShade="80"/>
          <w:sz w:val="17"/>
          <w:szCs w:val="17"/>
        </w:rPr>
        <w:t xml:space="preserve">Središnji državni portal, Ustrojena urbana aglomeracije Split, preuzeto </w:t>
      </w:r>
      <w:r>
        <w:rPr>
          <w:rFonts w:cs="Arial"/>
          <w:color w:val="244061" w:themeColor="accent1" w:themeShade="80"/>
          <w:sz w:val="17"/>
          <w:szCs w:val="17"/>
        </w:rPr>
        <w:t>23. travnja</w:t>
      </w:r>
      <w:r w:rsidRPr="00853073">
        <w:rPr>
          <w:rFonts w:cs="Arial"/>
          <w:color w:val="244061" w:themeColor="accent1" w:themeShade="80"/>
          <w:sz w:val="17"/>
          <w:szCs w:val="17"/>
        </w:rPr>
        <w:t xml:space="preserve"> 201</w:t>
      </w:r>
      <w:r>
        <w:rPr>
          <w:rFonts w:cs="Arial"/>
          <w:color w:val="244061" w:themeColor="accent1" w:themeShade="80"/>
          <w:sz w:val="17"/>
          <w:szCs w:val="17"/>
        </w:rPr>
        <w:t>9</w:t>
      </w:r>
      <w:r w:rsidRPr="00853073">
        <w:rPr>
          <w:rFonts w:cs="Arial"/>
          <w:color w:val="244061" w:themeColor="accent1" w:themeShade="80"/>
          <w:sz w:val="17"/>
          <w:szCs w:val="17"/>
        </w:rPr>
        <w:t xml:space="preserve">. </w:t>
      </w:r>
      <w:hyperlink r:id="rId1" w:history="1">
        <w:r w:rsidRPr="00853073">
          <w:rPr>
            <w:rStyle w:val="Hiperveza"/>
            <w:rFonts w:cs="Arial"/>
            <w:sz w:val="17"/>
            <w:szCs w:val="17"/>
          </w:rPr>
          <w:t>https://razvoj.gov.hr/prva-urbana-aglomeracija-u-republici-hrvatskoj-urbana-aglomeracija-split/3190</w:t>
        </w:r>
      </w:hyperlink>
    </w:p>
  </w:footnote>
  <w:footnote w:id="3">
    <w:p w:rsidR="00C87485" w:rsidRPr="00A218D6" w:rsidRDefault="00C87485" w:rsidP="003A2FFA">
      <w:pPr>
        <w:pStyle w:val="Tekstfusnote"/>
        <w:spacing w:before="0"/>
        <w:jc w:val="left"/>
        <w:rPr>
          <w:sz w:val="17"/>
          <w:szCs w:val="17"/>
        </w:rPr>
      </w:pPr>
      <w:r w:rsidRPr="00A218D6">
        <w:rPr>
          <w:rStyle w:val="Referencafusnote"/>
          <w:sz w:val="17"/>
          <w:szCs w:val="17"/>
        </w:rPr>
        <w:footnoteRef/>
      </w:r>
      <w:r w:rsidRPr="00A218D6">
        <w:rPr>
          <w:sz w:val="17"/>
          <w:szCs w:val="17"/>
        </w:rPr>
        <w:t xml:space="preserve"> </w:t>
      </w:r>
      <w:r>
        <w:rPr>
          <w:sz w:val="17"/>
          <w:szCs w:val="17"/>
        </w:rPr>
        <w:t xml:space="preserve">Ovo je društvo pripojeno društvu STUDENAC d.o.o., nakon čega je 8.2.2019. </w:t>
      </w:r>
      <w:r w:rsidRPr="00A218D6">
        <w:rPr>
          <w:sz w:val="17"/>
          <w:szCs w:val="17"/>
        </w:rPr>
        <w:t xml:space="preserve">Trgovački sud u Splitu brisao </w:t>
      </w:r>
      <w:r>
        <w:rPr>
          <w:sz w:val="17"/>
          <w:szCs w:val="17"/>
        </w:rPr>
        <w:t xml:space="preserve">društvo </w:t>
      </w:r>
      <w:r w:rsidRPr="003A2FFA">
        <w:rPr>
          <w:sz w:val="17"/>
          <w:szCs w:val="17"/>
        </w:rPr>
        <w:t>STUDENAC TRGOVINA d.o.o</w:t>
      </w:r>
      <w:r>
        <w:rPr>
          <w:sz w:val="17"/>
          <w:szCs w:val="17"/>
        </w:rPr>
        <w:t>.</w:t>
      </w:r>
      <w:r w:rsidRPr="00A218D6">
        <w:rPr>
          <w:sz w:val="17"/>
          <w:szCs w:val="17"/>
        </w:rPr>
        <w:t xml:space="preserve"> rješenjem Tt-19/263-2.</w:t>
      </w:r>
      <w:r>
        <w:rPr>
          <w:sz w:val="17"/>
          <w:szCs w:val="17"/>
        </w:rPr>
        <w:t xml:space="preserve"> Izvor: Sudski registar, preuzeto 2. svibnja 2019.</w:t>
      </w:r>
    </w:p>
  </w:footnote>
  <w:footnote w:id="4">
    <w:p w:rsidR="00C87485" w:rsidRPr="00E05041" w:rsidRDefault="00C87485" w:rsidP="00E05041">
      <w:pPr>
        <w:pStyle w:val="Tekstfusnote"/>
        <w:spacing w:before="0"/>
        <w:rPr>
          <w:rFonts w:cs="Arial"/>
          <w:color w:val="244061" w:themeColor="accent1" w:themeShade="80"/>
          <w:sz w:val="17"/>
          <w:szCs w:val="17"/>
        </w:rPr>
      </w:pPr>
      <w:r w:rsidRPr="00E05041">
        <w:rPr>
          <w:rStyle w:val="Referencafusnote"/>
          <w:rFonts w:cs="Arial"/>
          <w:color w:val="244061" w:themeColor="accent1" w:themeShade="80"/>
          <w:sz w:val="17"/>
          <w:szCs w:val="17"/>
        </w:rPr>
        <w:footnoteRef/>
      </w:r>
      <w:r w:rsidRPr="00E05041">
        <w:rPr>
          <w:rFonts w:cs="Arial"/>
          <w:color w:val="244061" w:themeColor="accent1" w:themeShade="80"/>
          <w:sz w:val="17"/>
          <w:szCs w:val="17"/>
        </w:rPr>
        <w:t xml:space="preserve"> Regionalni razvoj, preuzeto 2</w:t>
      </w:r>
      <w:r>
        <w:rPr>
          <w:rFonts w:cs="Arial"/>
          <w:color w:val="244061" w:themeColor="accent1" w:themeShade="80"/>
          <w:sz w:val="17"/>
          <w:szCs w:val="17"/>
        </w:rPr>
        <w:t>3</w:t>
      </w:r>
      <w:r w:rsidRPr="00E05041">
        <w:rPr>
          <w:rFonts w:cs="Arial"/>
          <w:color w:val="244061" w:themeColor="accent1" w:themeShade="80"/>
          <w:sz w:val="17"/>
          <w:szCs w:val="17"/>
        </w:rPr>
        <w:t>.</w:t>
      </w:r>
      <w:r>
        <w:rPr>
          <w:rFonts w:cs="Arial"/>
          <w:color w:val="244061" w:themeColor="accent1" w:themeShade="80"/>
          <w:sz w:val="17"/>
          <w:szCs w:val="17"/>
        </w:rPr>
        <w:t xml:space="preserve"> travnja </w:t>
      </w:r>
      <w:r w:rsidRPr="00E05041">
        <w:rPr>
          <w:rFonts w:cs="Arial"/>
          <w:color w:val="244061" w:themeColor="accent1" w:themeShade="80"/>
          <w:sz w:val="17"/>
          <w:szCs w:val="17"/>
        </w:rPr>
        <w:t>201</w:t>
      </w:r>
      <w:r>
        <w:rPr>
          <w:rFonts w:cs="Arial"/>
          <w:color w:val="244061" w:themeColor="accent1" w:themeShade="80"/>
          <w:sz w:val="17"/>
          <w:szCs w:val="17"/>
        </w:rPr>
        <w:t>9</w:t>
      </w:r>
      <w:r w:rsidRPr="00E05041">
        <w:rPr>
          <w:rFonts w:cs="Arial"/>
          <w:color w:val="244061" w:themeColor="accent1" w:themeShade="80"/>
          <w:sz w:val="17"/>
          <w:szCs w:val="17"/>
        </w:rPr>
        <w:t xml:space="preserve">. </w:t>
      </w:r>
      <w:hyperlink r:id="rId2" w:history="1">
        <w:r w:rsidRPr="00E05041">
          <w:rPr>
            <w:rStyle w:val="Hiperveza"/>
            <w:rFonts w:cs="Arial"/>
            <w:sz w:val="17"/>
            <w:szCs w:val="17"/>
          </w:rPr>
          <w:t>mailto:http://regionalni.weebly.com/urbana-podru269ja.html</w:t>
        </w:r>
      </w:hyperlink>
      <w:r w:rsidRPr="00E05041">
        <w:rPr>
          <w:rFonts w:cs="Arial"/>
          <w:color w:val="244061" w:themeColor="accent1" w:themeShade="80"/>
          <w:sz w:val="17"/>
          <w:szCs w:val="17"/>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485" w:rsidRDefault="00C87485">
    <w:pPr>
      <w:pStyle w:val="Zaglavlje"/>
    </w:pPr>
    <w:r>
      <w:rPr>
        <w:noProof/>
      </w:rPr>
      <w:drawing>
        <wp:anchor distT="0" distB="0" distL="114300" distR="114300" simplePos="0" relativeHeight="251658240" behindDoc="0" locked="0" layoutInCell="1" allowOverlap="1" wp14:anchorId="2BFBA1C6" wp14:editId="6F79FC3F">
          <wp:simplePos x="0" y="0"/>
          <wp:positionH relativeFrom="column">
            <wp:posOffset>-137795</wp:posOffset>
          </wp:positionH>
          <wp:positionV relativeFrom="paragraph">
            <wp:posOffset>-106491</wp:posOffset>
          </wp:positionV>
          <wp:extent cx="1085215" cy="215900"/>
          <wp:effectExtent l="0" t="0" r="635" b="0"/>
          <wp:wrapNone/>
          <wp:docPr id="4" name="Picture 7"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5EC"/>
    <w:multiLevelType w:val="multilevel"/>
    <w:tmpl w:val="D63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B241D"/>
    <w:multiLevelType w:val="hybridMultilevel"/>
    <w:tmpl w:val="9E246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3"/>
    <w:rsid w:val="00010FB5"/>
    <w:rsid w:val="000209D3"/>
    <w:rsid w:val="00021DE0"/>
    <w:rsid w:val="0002502B"/>
    <w:rsid w:val="00026E18"/>
    <w:rsid w:val="00026E74"/>
    <w:rsid w:val="000374C4"/>
    <w:rsid w:val="00037909"/>
    <w:rsid w:val="00040DC1"/>
    <w:rsid w:val="000460D2"/>
    <w:rsid w:val="00052B12"/>
    <w:rsid w:val="0005510B"/>
    <w:rsid w:val="00061976"/>
    <w:rsid w:val="00064F08"/>
    <w:rsid w:val="00066955"/>
    <w:rsid w:val="00080179"/>
    <w:rsid w:val="0009543A"/>
    <w:rsid w:val="000A6147"/>
    <w:rsid w:val="000A715D"/>
    <w:rsid w:val="000B028B"/>
    <w:rsid w:val="000C55F1"/>
    <w:rsid w:val="000C57CA"/>
    <w:rsid w:val="000D1579"/>
    <w:rsid w:val="000F3A0E"/>
    <w:rsid w:val="0011437F"/>
    <w:rsid w:val="00121755"/>
    <w:rsid w:val="001260B8"/>
    <w:rsid w:val="00126315"/>
    <w:rsid w:val="00127109"/>
    <w:rsid w:val="001278CD"/>
    <w:rsid w:val="00135A66"/>
    <w:rsid w:val="00140E6D"/>
    <w:rsid w:val="00161A30"/>
    <w:rsid w:val="00165A36"/>
    <w:rsid w:val="0017668E"/>
    <w:rsid w:val="00177727"/>
    <w:rsid w:val="001A4BD8"/>
    <w:rsid w:val="001A777A"/>
    <w:rsid w:val="001C5042"/>
    <w:rsid w:val="001C59A4"/>
    <w:rsid w:val="001D0DB4"/>
    <w:rsid w:val="001D1004"/>
    <w:rsid w:val="001F08AF"/>
    <w:rsid w:val="00202F8F"/>
    <w:rsid w:val="00204C23"/>
    <w:rsid w:val="002055B6"/>
    <w:rsid w:val="00205D45"/>
    <w:rsid w:val="0021243D"/>
    <w:rsid w:val="00233A9C"/>
    <w:rsid w:val="002345C3"/>
    <w:rsid w:val="00236374"/>
    <w:rsid w:val="0024222B"/>
    <w:rsid w:val="002516C5"/>
    <w:rsid w:val="00267AA1"/>
    <w:rsid w:val="00271A0B"/>
    <w:rsid w:val="00284589"/>
    <w:rsid w:val="002A7C7C"/>
    <w:rsid w:val="002B11B1"/>
    <w:rsid w:val="002C23FA"/>
    <w:rsid w:val="002D009C"/>
    <w:rsid w:val="002E5AC3"/>
    <w:rsid w:val="002F2FE4"/>
    <w:rsid w:val="002F5B51"/>
    <w:rsid w:val="0030100D"/>
    <w:rsid w:val="00304250"/>
    <w:rsid w:val="00306984"/>
    <w:rsid w:val="003143C0"/>
    <w:rsid w:val="00314835"/>
    <w:rsid w:val="00320693"/>
    <w:rsid w:val="00321A10"/>
    <w:rsid w:val="00323C8C"/>
    <w:rsid w:val="00343963"/>
    <w:rsid w:val="0035101A"/>
    <w:rsid w:val="0035299E"/>
    <w:rsid w:val="00373F98"/>
    <w:rsid w:val="00396FA6"/>
    <w:rsid w:val="003A2B06"/>
    <w:rsid w:val="003A2FFA"/>
    <w:rsid w:val="003A62D8"/>
    <w:rsid w:val="003C4729"/>
    <w:rsid w:val="003E42C5"/>
    <w:rsid w:val="003E4A0B"/>
    <w:rsid w:val="003E6ED6"/>
    <w:rsid w:val="003F0F25"/>
    <w:rsid w:val="004062C7"/>
    <w:rsid w:val="00407A04"/>
    <w:rsid w:val="004147D8"/>
    <w:rsid w:val="00417082"/>
    <w:rsid w:val="00420150"/>
    <w:rsid w:val="004327E0"/>
    <w:rsid w:val="004367D9"/>
    <w:rsid w:val="004476BF"/>
    <w:rsid w:val="00461DA6"/>
    <w:rsid w:val="00462DFC"/>
    <w:rsid w:val="00477B5C"/>
    <w:rsid w:val="00484743"/>
    <w:rsid w:val="004877E6"/>
    <w:rsid w:val="00495115"/>
    <w:rsid w:val="004A0157"/>
    <w:rsid w:val="004A69FB"/>
    <w:rsid w:val="004B733C"/>
    <w:rsid w:val="004C232B"/>
    <w:rsid w:val="004D1DD5"/>
    <w:rsid w:val="004D314D"/>
    <w:rsid w:val="004D6797"/>
    <w:rsid w:val="004E493C"/>
    <w:rsid w:val="004E7591"/>
    <w:rsid w:val="005057FB"/>
    <w:rsid w:val="00515B64"/>
    <w:rsid w:val="00524625"/>
    <w:rsid w:val="00525C10"/>
    <w:rsid w:val="00536315"/>
    <w:rsid w:val="0054311C"/>
    <w:rsid w:val="00560F0C"/>
    <w:rsid w:val="005926AE"/>
    <w:rsid w:val="005A4D79"/>
    <w:rsid w:val="005A66A8"/>
    <w:rsid w:val="005B3FE2"/>
    <w:rsid w:val="005B563C"/>
    <w:rsid w:val="005C679A"/>
    <w:rsid w:val="005D54B5"/>
    <w:rsid w:val="005D785A"/>
    <w:rsid w:val="005E553B"/>
    <w:rsid w:val="005E652A"/>
    <w:rsid w:val="005F1770"/>
    <w:rsid w:val="005F52CD"/>
    <w:rsid w:val="006109DE"/>
    <w:rsid w:val="0061713D"/>
    <w:rsid w:val="00623255"/>
    <w:rsid w:val="006276A8"/>
    <w:rsid w:val="00655EE1"/>
    <w:rsid w:val="00665ABC"/>
    <w:rsid w:val="00673F14"/>
    <w:rsid w:val="00690D27"/>
    <w:rsid w:val="0069770C"/>
    <w:rsid w:val="006A0977"/>
    <w:rsid w:val="006A2D45"/>
    <w:rsid w:val="006B2B65"/>
    <w:rsid w:val="006E3A9E"/>
    <w:rsid w:val="006E4445"/>
    <w:rsid w:val="006E57FC"/>
    <w:rsid w:val="006F086A"/>
    <w:rsid w:val="006F3208"/>
    <w:rsid w:val="006F6F18"/>
    <w:rsid w:val="007017F6"/>
    <w:rsid w:val="007031F8"/>
    <w:rsid w:val="00704026"/>
    <w:rsid w:val="00721927"/>
    <w:rsid w:val="00724FFF"/>
    <w:rsid w:val="00726457"/>
    <w:rsid w:val="00733F2C"/>
    <w:rsid w:val="0074533E"/>
    <w:rsid w:val="007504A3"/>
    <w:rsid w:val="00754AF5"/>
    <w:rsid w:val="007747D6"/>
    <w:rsid w:val="00774A69"/>
    <w:rsid w:val="00795C7A"/>
    <w:rsid w:val="007A46E6"/>
    <w:rsid w:val="007B4C9B"/>
    <w:rsid w:val="007C2198"/>
    <w:rsid w:val="007C6A91"/>
    <w:rsid w:val="007D5D28"/>
    <w:rsid w:val="007F0EFC"/>
    <w:rsid w:val="00805F6C"/>
    <w:rsid w:val="00806D40"/>
    <w:rsid w:val="008179C8"/>
    <w:rsid w:val="0082795D"/>
    <w:rsid w:val="00836C5C"/>
    <w:rsid w:val="00853073"/>
    <w:rsid w:val="0085639F"/>
    <w:rsid w:val="00857286"/>
    <w:rsid w:val="00874C36"/>
    <w:rsid w:val="008829EE"/>
    <w:rsid w:val="00882CF6"/>
    <w:rsid w:val="00883FAC"/>
    <w:rsid w:val="008840B6"/>
    <w:rsid w:val="00891DC5"/>
    <w:rsid w:val="0089310E"/>
    <w:rsid w:val="008A3C7A"/>
    <w:rsid w:val="008A3F73"/>
    <w:rsid w:val="008B55BF"/>
    <w:rsid w:val="008E2E94"/>
    <w:rsid w:val="008E58A9"/>
    <w:rsid w:val="008F2F92"/>
    <w:rsid w:val="008F50E2"/>
    <w:rsid w:val="0090135F"/>
    <w:rsid w:val="0091111E"/>
    <w:rsid w:val="00911E72"/>
    <w:rsid w:val="00921724"/>
    <w:rsid w:val="0092706E"/>
    <w:rsid w:val="00940AE9"/>
    <w:rsid w:val="009525E8"/>
    <w:rsid w:val="00957D93"/>
    <w:rsid w:val="00963E62"/>
    <w:rsid w:val="0097142E"/>
    <w:rsid w:val="00977696"/>
    <w:rsid w:val="009B4938"/>
    <w:rsid w:val="009B60AF"/>
    <w:rsid w:val="009B62F9"/>
    <w:rsid w:val="009B6338"/>
    <w:rsid w:val="009C1C36"/>
    <w:rsid w:val="009C2FA8"/>
    <w:rsid w:val="009C6A85"/>
    <w:rsid w:val="009D0F8A"/>
    <w:rsid w:val="009D1252"/>
    <w:rsid w:val="009D44C3"/>
    <w:rsid w:val="009E1CD1"/>
    <w:rsid w:val="009F1B49"/>
    <w:rsid w:val="00A06C02"/>
    <w:rsid w:val="00A17F80"/>
    <w:rsid w:val="00A218D6"/>
    <w:rsid w:val="00A24D63"/>
    <w:rsid w:val="00A27295"/>
    <w:rsid w:val="00A42C35"/>
    <w:rsid w:val="00A45AF8"/>
    <w:rsid w:val="00A652B7"/>
    <w:rsid w:val="00A70541"/>
    <w:rsid w:val="00A76D07"/>
    <w:rsid w:val="00AA09BC"/>
    <w:rsid w:val="00AA30C7"/>
    <w:rsid w:val="00AB5C92"/>
    <w:rsid w:val="00AB6472"/>
    <w:rsid w:val="00AC4CC0"/>
    <w:rsid w:val="00AC4D94"/>
    <w:rsid w:val="00AF099D"/>
    <w:rsid w:val="00AF3D0E"/>
    <w:rsid w:val="00AF6F0C"/>
    <w:rsid w:val="00B0422F"/>
    <w:rsid w:val="00B04BFA"/>
    <w:rsid w:val="00B066F7"/>
    <w:rsid w:val="00B21176"/>
    <w:rsid w:val="00B22157"/>
    <w:rsid w:val="00B27B4E"/>
    <w:rsid w:val="00B350D9"/>
    <w:rsid w:val="00B43BD0"/>
    <w:rsid w:val="00B65754"/>
    <w:rsid w:val="00B671FD"/>
    <w:rsid w:val="00BA7E95"/>
    <w:rsid w:val="00BB35B5"/>
    <w:rsid w:val="00BC332B"/>
    <w:rsid w:val="00BD48F7"/>
    <w:rsid w:val="00BE465E"/>
    <w:rsid w:val="00C01071"/>
    <w:rsid w:val="00C01214"/>
    <w:rsid w:val="00C07AF5"/>
    <w:rsid w:val="00C115AB"/>
    <w:rsid w:val="00C149EE"/>
    <w:rsid w:val="00C20E9C"/>
    <w:rsid w:val="00C21A1F"/>
    <w:rsid w:val="00C310AB"/>
    <w:rsid w:val="00C32213"/>
    <w:rsid w:val="00C32E28"/>
    <w:rsid w:val="00C37EC4"/>
    <w:rsid w:val="00C45A7B"/>
    <w:rsid w:val="00C475C4"/>
    <w:rsid w:val="00C53CE3"/>
    <w:rsid w:val="00C56190"/>
    <w:rsid w:val="00C6737A"/>
    <w:rsid w:val="00C715F9"/>
    <w:rsid w:val="00C75A99"/>
    <w:rsid w:val="00C87485"/>
    <w:rsid w:val="00C94D0E"/>
    <w:rsid w:val="00CB28F2"/>
    <w:rsid w:val="00CC6201"/>
    <w:rsid w:val="00CD4ED8"/>
    <w:rsid w:val="00D124A1"/>
    <w:rsid w:val="00D21373"/>
    <w:rsid w:val="00D30534"/>
    <w:rsid w:val="00D30907"/>
    <w:rsid w:val="00D33915"/>
    <w:rsid w:val="00D36483"/>
    <w:rsid w:val="00D415AC"/>
    <w:rsid w:val="00D43FF9"/>
    <w:rsid w:val="00D53354"/>
    <w:rsid w:val="00D62B47"/>
    <w:rsid w:val="00D7423E"/>
    <w:rsid w:val="00D745E9"/>
    <w:rsid w:val="00D7525A"/>
    <w:rsid w:val="00D81097"/>
    <w:rsid w:val="00D90AE0"/>
    <w:rsid w:val="00D923C5"/>
    <w:rsid w:val="00D929CC"/>
    <w:rsid w:val="00D93D51"/>
    <w:rsid w:val="00DA2D4A"/>
    <w:rsid w:val="00DB7945"/>
    <w:rsid w:val="00DE7392"/>
    <w:rsid w:val="00E05041"/>
    <w:rsid w:val="00E10A67"/>
    <w:rsid w:val="00E236D7"/>
    <w:rsid w:val="00E24C4B"/>
    <w:rsid w:val="00E33C27"/>
    <w:rsid w:val="00E4014B"/>
    <w:rsid w:val="00E40A12"/>
    <w:rsid w:val="00E42F1F"/>
    <w:rsid w:val="00E45368"/>
    <w:rsid w:val="00E50299"/>
    <w:rsid w:val="00E54ABF"/>
    <w:rsid w:val="00E57196"/>
    <w:rsid w:val="00E61152"/>
    <w:rsid w:val="00E65163"/>
    <w:rsid w:val="00E70309"/>
    <w:rsid w:val="00E934F1"/>
    <w:rsid w:val="00E96382"/>
    <w:rsid w:val="00EA1E11"/>
    <w:rsid w:val="00EA5D5F"/>
    <w:rsid w:val="00EB15C0"/>
    <w:rsid w:val="00EB18D3"/>
    <w:rsid w:val="00EC34D9"/>
    <w:rsid w:val="00EC6F95"/>
    <w:rsid w:val="00EE346A"/>
    <w:rsid w:val="00EE40CA"/>
    <w:rsid w:val="00F00D7C"/>
    <w:rsid w:val="00F03F08"/>
    <w:rsid w:val="00F07C55"/>
    <w:rsid w:val="00F11397"/>
    <w:rsid w:val="00F15427"/>
    <w:rsid w:val="00F15BD5"/>
    <w:rsid w:val="00F6457C"/>
    <w:rsid w:val="00F6636D"/>
    <w:rsid w:val="00F73A11"/>
    <w:rsid w:val="00F7773B"/>
    <w:rsid w:val="00F97DE3"/>
    <w:rsid w:val="00FA3D7E"/>
    <w:rsid w:val="00FA589A"/>
    <w:rsid w:val="00FB161E"/>
    <w:rsid w:val="00FC7957"/>
    <w:rsid w:val="00FE3B52"/>
    <w:rsid w:val="00FF2034"/>
    <w:rsid w:val="00FF3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before="1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rPr>
      <w:rFonts w:ascii="Arial" w:eastAsia="Times New Roman" w:hAnsi="Arial" w:cs="Times New Roman"/>
      <w:color w:val="00336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E65163"/>
    <w:rPr>
      <w:sz w:val="20"/>
    </w:rPr>
  </w:style>
  <w:style w:type="character" w:customStyle="1" w:styleId="TekstfusnoteChar">
    <w:name w:val="Tekst fusnote Char"/>
    <w:basedOn w:val="Zadanifontodlomka"/>
    <w:link w:val="Tekstfusnote"/>
    <w:uiPriority w:val="99"/>
    <w:semiHidden/>
    <w:rsid w:val="00E65163"/>
    <w:rPr>
      <w:rFonts w:ascii="Arial" w:eastAsia="Times New Roman" w:hAnsi="Arial" w:cs="Times New Roman"/>
      <w:color w:val="003366"/>
      <w:sz w:val="20"/>
      <w:szCs w:val="20"/>
      <w:lang w:eastAsia="hr-HR"/>
    </w:rPr>
  </w:style>
  <w:style w:type="character" w:styleId="Referencafusnote">
    <w:name w:val="footnote reference"/>
    <w:basedOn w:val="Zadanifontodlomka"/>
    <w:uiPriority w:val="99"/>
    <w:semiHidden/>
    <w:rsid w:val="00E65163"/>
    <w:rPr>
      <w:rFonts w:cs="Times New Roman"/>
      <w:vertAlign w:val="superscript"/>
    </w:rPr>
  </w:style>
  <w:style w:type="character" w:styleId="Hiperveza">
    <w:name w:val="Hyperlink"/>
    <w:basedOn w:val="Zadanifontodlomka"/>
    <w:uiPriority w:val="99"/>
    <w:rsid w:val="00E65163"/>
    <w:rPr>
      <w:rFonts w:cs="Times New Roman"/>
      <w:color w:val="0000FF"/>
      <w:u w:val="single"/>
    </w:rPr>
  </w:style>
  <w:style w:type="table" w:customStyle="1" w:styleId="TableGrid1">
    <w:name w:val="Table Grid1"/>
    <w:basedOn w:val="Obinatablica"/>
    <w:next w:val="Reetkatablice"/>
    <w:uiPriority w:val="59"/>
    <w:rsid w:val="00E6516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59"/>
    <w:rsid w:val="00E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E65163"/>
    <w:pPr>
      <w:spacing w:before="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5163"/>
    <w:rPr>
      <w:rFonts w:ascii="Tahoma" w:eastAsia="Times New Roman" w:hAnsi="Tahoma" w:cs="Tahoma"/>
      <w:color w:val="003366"/>
      <w:sz w:val="16"/>
      <w:szCs w:val="16"/>
      <w:lang w:eastAsia="hr-HR"/>
    </w:rPr>
  </w:style>
  <w:style w:type="character" w:styleId="SlijeenaHiperveza">
    <w:name w:val="FollowedHyperlink"/>
    <w:basedOn w:val="Zadanifontodlomka"/>
    <w:uiPriority w:val="99"/>
    <w:semiHidden/>
    <w:unhideWhenUsed/>
    <w:rsid w:val="00CD4ED8"/>
    <w:rPr>
      <w:color w:val="800080" w:themeColor="followedHyperlink"/>
      <w:u w:val="single"/>
    </w:rPr>
  </w:style>
  <w:style w:type="character" w:styleId="Naglaeno">
    <w:name w:val="Strong"/>
    <w:basedOn w:val="Zadanifontodlomka"/>
    <w:uiPriority w:val="22"/>
    <w:qFormat/>
    <w:rsid w:val="00D30907"/>
    <w:rPr>
      <w:b/>
      <w:bCs/>
    </w:rPr>
  </w:style>
  <w:style w:type="character" w:customStyle="1" w:styleId="apple-converted-space">
    <w:name w:val="apple-converted-space"/>
    <w:basedOn w:val="Zadanifontodlomka"/>
    <w:rsid w:val="00D30907"/>
  </w:style>
  <w:style w:type="paragraph" w:styleId="Odlomakpopisa">
    <w:name w:val="List Paragraph"/>
    <w:basedOn w:val="Normal"/>
    <w:uiPriority w:val="34"/>
    <w:qFormat/>
    <w:rsid w:val="00D30907"/>
    <w:pPr>
      <w:ind w:left="720"/>
      <w:contextualSpacing/>
    </w:pPr>
  </w:style>
  <w:style w:type="paragraph" w:styleId="Zaglavlje">
    <w:name w:val="header"/>
    <w:basedOn w:val="Normal"/>
    <w:link w:val="ZaglavljeChar"/>
    <w:uiPriority w:val="99"/>
    <w:unhideWhenUsed/>
    <w:rsid w:val="00BC332B"/>
    <w:pPr>
      <w:tabs>
        <w:tab w:val="center" w:pos="4536"/>
        <w:tab w:val="right" w:pos="9072"/>
      </w:tabs>
      <w:spacing w:before="0"/>
    </w:pPr>
  </w:style>
  <w:style w:type="character" w:customStyle="1" w:styleId="ZaglavljeChar">
    <w:name w:val="Zaglavlje Char"/>
    <w:basedOn w:val="Zadanifontodlomka"/>
    <w:link w:val="Zaglavlje"/>
    <w:uiPriority w:val="99"/>
    <w:rsid w:val="00BC332B"/>
    <w:rPr>
      <w:rFonts w:ascii="Arial" w:eastAsia="Times New Roman" w:hAnsi="Arial" w:cs="Times New Roman"/>
      <w:color w:val="003366"/>
      <w:szCs w:val="20"/>
      <w:lang w:eastAsia="hr-HR"/>
    </w:rPr>
  </w:style>
  <w:style w:type="paragraph" w:styleId="Podnoje">
    <w:name w:val="footer"/>
    <w:basedOn w:val="Normal"/>
    <w:link w:val="PodnojeChar"/>
    <w:uiPriority w:val="99"/>
    <w:unhideWhenUsed/>
    <w:rsid w:val="00BC332B"/>
    <w:pPr>
      <w:tabs>
        <w:tab w:val="center" w:pos="4536"/>
        <w:tab w:val="right" w:pos="9072"/>
      </w:tabs>
      <w:spacing w:before="0"/>
    </w:pPr>
  </w:style>
  <w:style w:type="character" w:customStyle="1" w:styleId="PodnojeChar">
    <w:name w:val="Podnožje Char"/>
    <w:basedOn w:val="Zadanifontodlomka"/>
    <w:link w:val="Podnoje"/>
    <w:uiPriority w:val="99"/>
    <w:rsid w:val="00BC332B"/>
    <w:rPr>
      <w:rFonts w:ascii="Arial" w:eastAsia="Times New Roman" w:hAnsi="Arial" w:cs="Times New Roman"/>
      <w:color w:val="003366"/>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before="1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rPr>
      <w:rFonts w:ascii="Arial" w:eastAsia="Times New Roman" w:hAnsi="Arial" w:cs="Times New Roman"/>
      <w:color w:val="00336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E65163"/>
    <w:rPr>
      <w:sz w:val="20"/>
    </w:rPr>
  </w:style>
  <w:style w:type="character" w:customStyle="1" w:styleId="TekstfusnoteChar">
    <w:name w:val="Tekst fusnote Char"/>
    <w:basedOn w:val="Zadanifontodlomka"/>
    <w:link w:val="Tekstfusnote"/>
    <w:uiPriority w:val="99"/>
    <w:semiHidden/>
    <w:rsid w:val="00E65163"/>
    <w:rPr>
      <w:rFonts w:ascii="Arial" w:eastAsia="Times New Roman" w:hAnsi="Arial" w:cs="Times New Roman"/>
      <w:color w:val="003366"/>
      <w:sz w:val="20"/>
      <w:szCs w:val="20"/>
      <w:lang w:eastAsia="hr-HR"/>
    </w:rPr>
  </w:style>
  <w:style w:type="character" w:styleId="Referencafusnote">
    <w:name w:val="footnote reference"/>
    <w:basedOn w:val="Zadanifontodlomka"/>
    <w:uiPriority w:val="99"/>
    <w:semiHidden/>
    <w:rsid w:val="00E65163"/>
    <w:rPr>
      <w:rFonts w:cs="Times New Roman"/>
      <w:vertAlign w:val="superscript"/>
    </w:rPr>
  </w:style>
  <w:style w:type="character" w:styleId="Hiperveza">
    <w:name w:val="Hyperlink"/>
    <w:basedOn w:val="Zadanifontodlomka"/>
    <w:uiPriority w:val="99"/>
    <w:rsid w:val="00E65163"/>
    <w:rPr>
      <w:rFonts w:cs="Times New Roman"/>
      <w:color w:val="0000FF"/>
      <w:u w:val="single"/>
    </w:rPr>
  </w:style>
  <w:style w:type="table" w:customStyle="1" w:styleId="TableGrid1">
    <w:name w:val="Table Grid1"/>
    <w:basedOn w:val="Obinatablica"/>
    <w:next w:val="Reetkatablice"/>
    <w:uiPriority w:val="59"/>
    <w:rsid w:val="00E6516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59"/>
    <w:rsid w:val="00E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E65163"/>
    <w:pPr>
      <w:spacing w:before="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5163"/>
    <w:rPr>
      <w:rFonts w:ascii="Tahoma" w:eastAsia="Times New Roman" w:hAnsi="Tahoma" w:cs="Tahoma"/>
      <w:color w:val="003366"/>
      <w:sz w:val="16"/>
      <w:szCs w:val="16"/>
      <w:lang w:eastAsia="hr-HR"/>
    </w:rPr>
  </w:style>
  <w:style w:type="character" w:styleId="SlijeenaHiperveza">
    <w:name w:val="FollowedHyperlink"/>
    <w:basedOn w:val="Zadanifontodlomka"/>
    <w:uiPriority w:val="99"/>
    <w:semiHidden/>
    <w:unhideWhenUsed/>
    <w:rsid w:val="00CD4ED8"/>
    <w:rPr>
      <w:color w:val="800080" w:themeColor="followedHyperlink"/>
      <w:u w:val="single"/>
    </w:rPr>
  </w:style>
  <w:style w:type="character" w:styleId="Naglaeno">
    <w:name w:val="Strong"/>
    <w:basedOn w:val="Zadanifontodlomka"/>
    <w:uiPriority w:val="22"/>
    <w:qFormat/>
    <w:rsid w:val="00D30907"/>
    <w:rPr>
      <w:b/>
      <w:bCs/>
    </w:rPr>
  </w:style>
  <w:style w:type="character" w:customStyle="1" w:styleId="apple-converted-space">
    <w:name w:val="apple-converted-space"/>
    <w:basedOn w:val="Zadanifontodlomka"/>
    <w:rsid w:val="00D30907"/>
  </w:style>
  <w:style w:type="paragraph" w:styleId="Odlomakpopisa">
    <w:name w:val="List Paragraph"/>
    <w:basedOn w:val="Normal"/>
    <w:uiPriority w:val="34"/>
    <w:qFormat/>
    <w:rsid w:val="00D30907"/>
    <w:pPr>
      <w:ind w:left="720"/>
      <w:contextualSpacing/>
    </w:pPr>
  </w:style>
  <w:style w:type="paragraph" w:styleId="Zaglavlje">
    <w:name w:val="header"/>
    <w:basedOn w:val="Normal"/>
    <w:link w:val="ZaglavljeChar"/>
    <w:uiPriority w:val="99"/>
    <w:unhideWhenUsed/>
    <w:rsid w:val="00BC332B"/>
    <w:pPr>
      <w:tabs>
        <w:tab w:val="center" w:pos="4536"/>
        <w:tab w:val="right" w:pos="9072"/>
      </w:tabs>
      <w:spacing w:before="0"/>
    </w:pPr>
  </w:style>
  <w:style w:type="character" w:customStyle="1" w:styleId="ZaglavljeChar">
    <w:name w:val="Zaglavlje Char"/>
    <w:basedOn w:val="Zadanifontodlomka"/>
    <w:link w:val="Zaglavlje"/>
    <w:uiPriority w:val="99"/>
    <w:rsid w:val="00BC332B"/>
    <w:rPr>
      <w:rFonts w:ascii="Arial" w:eastAsia="Times New Roman" w:hAnsi="Arial" w:cs="Times New Roman"/>
      <w:color w:val="003366"/>
      <w:szCs w:val="20"/>
      <w:lang w:eastAsia="hr-HR"/>
    </w:rPr>
  </w:style>
  <w:style w:type="paragraph" w:styleId="Podnoje">
    <w:name w:val="footer"/>
    <w:basedOn w:val="Normal"/>
    <w:link w:val="PodnojeChar"/>
    <w:uiPriority w:val="99"/>
    <w:unhideWhenUsed/>
    <w:rsid w:val="00BC332B"/>
    <w:pPr>
      <w:tabs>
        <w:tab w:val="center" w:pos="4536"/>
        <w:tab w:val="right" w:pos="9072"/>
      </w:tabs>
      <w:spacing w:before="0"/>
    </w:pPr>
  </w:style>
  <w:style w:type="character" w:customStyle="1" w:styleId="PodnojeChar">
    <w:name w:val="Podnožje Char"/>
    <w:basedOn w:val="Zadanifontodlomka"/>
    <w:link w:val="Podnoje"/>
    <w:uiPriority w:val="99"/>
    <w:rsid w:val="00BC332B"/>
    <w:rPr>
      <w:rFonts w:ascii="Arial" w:eastAsia="Times New Roman" w:hAnsi="Arial" w:cs="Times New Roman"/>
      <w:color w:val="003366"/>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1645">
      <w:bodyDiv w:val="1"/>
      <w:marLeft w:val="0"/>
      <w:marRight w:val="0"/>
      <w:marTop w:val="0"/>
      <w:marBottom w:val="0"/>
      <w:divBdr>
        <w:top w:val="none" w:sz="0" w:space="0" w:color="auto"/>
        <w:left w:val="none" w:sz="0" w:space="0" w:color="auto"/>
        <w:bottom w:val="none" w:sz="0" w:space="0" w:color="auto"/>
        <w:right w:val="none" w:sz="0" w:space="0" w:color="auto"/>
      </w:divBdr>
    </w:div>
    <w:div w:id="235097278">
      <w:bodyDiv w:val="1"/>
      <w:marLeft w:val="0"/>
      <w:marRight w:val="0"/>
      <w:marTop w:val="0"/>
      <w:marBottom w:val="0"/>
      <w:divBdr>
        <w:top w:val="none" w:sz="0" w:space="0" w:color="auto"/>
        <w:left w:val="none" w:sz="0" w:space="0" w:color="auto"/>
        <w:bottom w:val="none" w:sz="0" w:space="0" w:color="auto"/>
        <w:right w:val="none" w:sz="0" w:space="0" w:color="auto"/>
      </w:divBdr>
    </w:div>
    <w:div w:id="313217018">
      <w:bodyDiv w:val="1"/>
      <w:marLeft w:val="0"/>
      <w:marRight w:val="0"/>
      <w:marTop w:val="0"/>
      <w:marBottom w:val="0"/>
      <w:divBdr>
        <w:top w:val="none" w:sz="0" w:space="0" w:color="auto"/>
        <w:left w:val="none" w:sz="0" w:space="0" w:color="auto"/>
        <w:bottom w:val="none" w:sz="0" w:space="0" w:color="auto"/>
        <w:right w:val="none" w:sz="0" w:space="0" w:color="auto"/>
      </w:divBdr>
    </w:div>
    <w:div w:id="458767017">
      <w:bodyDiv w:val="1"/>
      <w:marLeft w:val="0"/>
      <w:marRight w:val="0"/>
      <w:marTop w:val="0"/>
      <w:marBottom w:val="0"/>
      <w:divBdr>
        <w:top w:val="none" w:sz="0" w:space="0" w:color="auto"/>
        <w:left w:val="none" w:sz="0" w:space="0" w:color="auto"/>
        <w:bottom w:val="none" w:sz="0" w:space="0" w:color="auto"/>
        <w:right w:val="none" w:sz="0" w:space="0" w:color="auto"/>
      </w:divBdr>
    </w:div>
    <w:div w:id="504323597">
      <w:bodyDiv w:val="1"/>
      <w:marLeft w:val="0"/>
      <w:marRight w:val="0"/>
      <w:marTop w:val="0"/>
      <w:marBottom w:val="0"/>
      <w:divBdr>
        <w:top w:val="none" w:sz="0" w:space="0" w:color="auto"/>
        <w:left w:val="none" w:sz="0" w:space="0" w:color="auto"/>
        <w:bottom w:val="none" w:sz="0" w:space="0" w:color="auto"/>
        <w:right w:val="none" w:sz="0" w:space="0" w:color="auto"/>
      </w:divBdr>
    </w:div>
    <w:div w:id="519851527">
      <w:bodyDiv w:val="1"/>
      <w:marLeft w:val="0"/>
      <w:marRight w:val="0"/>
      <w:marTop w:val="0"/>
      <w:marBottom w:val="0"/>
      <w:divBdr>
        <w:top w:val="none" w:sz="0" w:space="0" w:color="auto"/>
        <w:left w:val="none" w:sz="0" w:space="0" w:color="auto"/>
        <w:bottom w:val="none" w:sz="0" w:space="0" w:color="auto"/>
        <w:right w:val="none" w:sz="0" w:space="0" w:color="auto"/>
      </w:divBdr>
    </w:div>
    <w:div w:id="751898786">
      <w:bodyDiv w:val="1"/>
      <w:marLeft w:val="0"/>
      <w:marRight w:val="0"/>
      <w:marTop w:val="0"/>
      <w:marBottom w:val="0"/>
      <w:divBdr>
        <w:top w:val="none" w:sz="0" w:space="0" w:color="auto"/>
        <w:left w:val="none" w:sz="0" w:space="0" w:color="auto"/>
        <w:bottom w:val="none" w:sz="0" w:space="0" w:color="auto"/>
        <w:right w:val="none" w:sz="0" w:space="0" w:color="auto"/>
      </w:divBdr>
    </w:div>
    <w:div w:id="790823467">
      <w:bodyDiv w:val="1"/>
      <w:marLeft w:val="0"/>
      <w:marRight w:val="0"/>
      <w:marTop w:val="0"/>
      <w:marBottom w:val="0"/>
      <w:divBdr>
        <w:top w:val="none" w:sz="0" w:space="0" w:color="auto"/>
        <w:left w:val="none" w:sz="0" w:space="0" w:color="auto"/>
        <w:bottom w:val="none" w:sz="0" w:space="0" w:color="auto"/>
        <w:right w:val="none" w:sz="0" w:space="0" w:color="auto"/>
      </w:divBdr>
    </w:div>
    <w:div w:id="814375327">
      <w:bodyDiv w:val="1"/>
      <w:marLeft w:val="0"/>
      <w:marRight w:val="0"/>
      <w:marTop w:val="0"/>
      <w:marBottom w:val="0"/>
      <w:divBdr>
        <w:top w:val="none" w:sz="0" w:space="0" w:color="auto"/>
        <w:left w:val="none" w:sz="0" w:space="0" w:color="auto"/>
        <w:bottom w:val="none" w:sz="0" w:space="0" w:color="auto"/>
        <w:right w:val="none" w:sz="0" w:space="0" w:color="auto"/>
      </w:divBdr>
    </w:div>
    <w:div w:id="818378931">
      <w:bodyDiv w:val="1"/>
      <w:marLeft w:val="0"/>
      <w:marRight w:val="0"/>
      <w:marTop w:val="0"/>
      <w:marBottom w:val="0"/>
      <w:divBdr>
        <w:top w:val="none" w:sz="0" w:space="0" w:color="auto"/>
        <w:left w:val="none" w:sz="0" w:space="0" w:color="auto"/>
        <w:bottom w:val="none" w:sz="0" w:space="0" w:color="auto"/>
        <w:right w:val="none" w:sz="0" w:space="0" w:color="auto"/>
      </w:divBdr>
    </w:div>
    <w:div w:id="822309908">
      <w:bodyDiv w:val="1"/>
      <w:marLeft w:val="0"/>
      <w:marRight w:val="0"/>
      <w:marTop w:val="0"/>
      <w:marBottom w:val="0"/>
      <w:divBdr>
        <w:top w:val="none" w:sz="0" w:space="0" w:color="auto"/>
        <w:left w:val="none" w:sz="0" w:space="0" w:color="auto"/>
        <w:bottom w:val="none" w:sz="0" w:space="0" w:color="auto"/>
        <w:right w:val="none" w:sz="0" w:space="0" w:color="auto"/>
      </w:divBdr>
    </w:div>
    <w:div w:id="837618032">
      <w:bodyDiv w:val="1"/>
      <w:marLeft w:val="0"/>
      <w:marRight w:val="0"/>
      <w:marTop w:val="0"/>
      <w:marBottom w:val="0"/>
      <w:divBdr>
        <w:top w:val="none" w:sz="0" w:space="0" w:color="auto"/>
        <w:left w:val="none" w:sz="0" w:space="0" w:color="auto"/>
        <w:bottom w:val="none" w:sz="0" w:space="0" w:color="auto"/>
        <w:right w:val="none" w:sz="0" w:space="0" w:color="auto"/>
      </w:divBdr>
    </w:div>
    <w:div w:id="871842097">
      <w:bodyDiv w:val="1"/>
      <w:marLeft w:val="0"/>
      <w:marRight w:val="0"/>
      <w:marTop w:val="0"/>
      <w:marBottom w:val="0"/>
      <w:divBdr>
        <w:top w:val="none" w:sz="0" w:space="0" w:color="auto"/>
        <w:left w:val="none" w:sz="0" w:space="0" w:color="auto"/>
        <w:bottom w:val="none" w:sz="0" w:space="0" w:color="auto"/>
        <w:right w:val="none" w:sz="0" w:space="0" w:color="auto"/>
      </w:divBdr>
    </w:div>
    <w:div w:id="1289705721">
      <w:bodyDiv w:val="1"/>
      <w:marLeft w:val="0"/>
      <w:marRight w:val="0"/>
      <w:marTop w:val="0"/>
      <w:marBottom w:val="0"/>
      <w:divBdr>
        <w:top w:val="none" w:sz="0" w:space="0" w:color="auto"/>
        <w:left w:val="none" w:sz="0" w:space="0" w:color="auto"/>
        <w:bottom w:val="none" w:sz="0" w:space="0" w:color="auto"/>
        <w:right w:val="none" w:sz="0" w:space="0" w:color="auto"/>
      </w:divBdr>
    </w:div>
    <w:div w:id="1317683883">
      <w:bodyDiv w:val="1"/>
      <w:marLeft w:val="0"/>
      <w:marRight w:val="0"/>
      <w:marTop w:val="0"/>
      <w:marBottom w:val="0"/>
      <w:divBdr>
        <w:top w:val="none" w:sz="0" w:space="0" w:color="auto"/>
        <w:left w:val="none" w:sz="0" w:space="0" w:color="auto"/>
        <w:bottom w:val="none" w:sz="0" w:space="0" w:color="auto"/>
        <w:right w:val="none" w:sz="0" w:space="0" w:color="auto"/>
      </w:divBdr>
    </w:div>
    <w:div w:id="1340085264">
      <w:bodyDiv w:val="1"/>
      <w:marLeft w:val="0"/>
      <w:marRight w:val="0"/>
      <w:marTop w:val="0"/>
      <w:marBottom w:val="0"/>
      <w:divBdr>
        <w:top w:val="none" w:sz="0" w:space="0" w:color="auto"/>
        <w:left w:val="none" w:sz="0" w:space="0" w:color="auto"/>
        <w:bottom w:val="none" w:sz="0" w:space="0" w:color="auto"/>
        <w:right w:val="none" w:sz="0" w:space="0" w:color="auto"/>
      </w:divBdr>
    </w:div>
    <w:div w:id="1448812656">
      <w:bodyDiv w:val="1"/>
      <w:marLeft w:val="0"/>
      <w:marRight w:val="0"/>
      <w:marTop w:val="0"/>
      <w:marBottom w:val="0"/>
      <w:divBdr>
        <w:top w:val="none" w:sz="0" w:space="0" w:color="auto"/>
        <w:left w:val="none" w:sz="0" w:space="0" w:color="auto"/>
        <w:bottom w:val="none" w:sz="0" w:space="0" w:color="auto"/>
        <w:right w:val="none" w:sz="0" w:space="0" w:color="auto"/>
      </w:divBdr>
    </w:div>
    <w:div w:id="1459907800">
      <w:bodyDiv w:val="1"/>
      <w:marLeft w:val="0"/>
      <w:marRight w:val="0"/>
      <w:marTop w:val="0"/>
      <w:marBottom w:val="0"/>
      <w:divBdr>
        <w:top w:val="none" w:sz="0" w:space="0" w:color="auto"/>
        <w:left w:val="none" w:sz="0" w:space="0" w:color="auto"/>
        <w:bottom w:val="none" w:sz="0" w:space="0" w:color="auto"/>
        <w:right w:val="none" w:sz="0" w:space="0" w:color="auto"/>
      </w:divBdr>
    </w:div>
    <w:div w:id="1670988265">
      <w:bodyDiv w:val="1"/>
      <w:marLeft w:val="0"/>
      <w:marRight w:val="0"/>
      <w:marTop w:val="0"/>
      <w:marBottom w:val="0"/>
      <w:divBdr>
        <w:top w:val="none" w:sz="0" w:space="0" w:color="auto"/>
        <w:left w:val="none" w:sz="0" w:space="0" w:color="auto"/>
        <w:bottom w:val="none" w:sz="0" w:space="0" w:color="auto"/>
        <w:right w:val="none" w:sz="0" w:space="0" w:color="auto"/>
      </w:divBdr>
    </w:div>
    <w:div w:id="1721593307">
      <w:bodyDiv w:val="1"/>
      <w:marLeft w:val="0"/>
      <w:marRight w:val="0"/>
      <w:marTop w:val="0"/>
      <w:marBottom w:val="0"/>
      <w:divBdr>
        <w:top w:val="none" w:sz="0" w:space="0" w:color="auto"/>
        <w:left w:val="none" w:sz="0" w:space="0" w:color="auto"/>
        <w:bottom w:val="none" w:sz="0" w:space="0" w:color="auto"/>
        <w:right w:val="none" w:sz="0" w:space="0" w:color="auto"/>
      </w:divBdr>
    </w:div>
    <w:div w:id="1751149638">
      <w:bodyDiv w:val="1"/>
      <w:marLeft w:val="0"/>
      <w:marRight w:val="0"/>
      <w:marTop w:val="0"/>
      <w:marBottom w:val="0"/>
      <w:divBdr>
        <w:top w:val="none" w:sz="0" w:space="0" w:color="auto"/>
        <w:left w:val="none" w:sz="0" w:space="0" w:color="auto"/>
        <w:bottom w:val="none" w:sz="0" w:space="0" w:color="auto"/>
        <w:right w:val="none" w:sz="0" w:space="0" w:color="auto"/>
      </w:divBdr>
    </w:div>
    <w:div w:id="1758551275">
      <w:bodyDiv w:val="1"/>
      <w:marLeft w:val="0"/>
      <w:marRight w:val="0"/>
      <w:marTop w:val="0"/>
      <w:marBottom w:val="0"/>
      <w:divBdr>
        <w:top w:val="none" w:sz="0" w:space="0" w:color="auto"/>
        <w:left w:val="none" w:sz="0" w:space="0" w:color="auto"/>
        <w:bottom w:val="none" w:sz="0" w:space="0" w:color="auto"/>
        <w:right w:val="none" w:sz="0" w:space="0" w:color="auto"/>
      </w:divBdr>
    </w:div>
    <w:div w:id="1762412366">
      <w:bodyDiv w:val="1"/>
      <w:marLeft w:val="0"/>
      <w:marRight w:val="0"/>
      <w:marTop w:val="0"/>
      <w:marBottom w:val="0"/>
      <w:divBdr>
        <w:top w:val="none" w:sz="0" w:space="0" w:color="auto"/>
        <w:left w:val="none" w:sz="0" w:space="0" w:color="auto"/>
        <w:bottom w:val="none" w:sz="0" w:space="0" w:color="auto"/>
        <w:right w:val="none" w:sz="0" w:space="0" w:color="auto"/>
      </w:divBdr>
    </w:div>
    <w:div w:id="21167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transparentno.hr/pregled/92265244213/1c2f5da5f66dd8f19430d0516b4cfcf0ec7e5af938934fecb8e9b27f78deafe90d333f60f166218d59edbc9e22a0754289fc83aad87b011954515102a89ed9b0" TargetMode="External"/><Relationship Id="rId26" Type="http://schemas.openxmlformats.org/officeDocument/2006/relationships/hyperlink" Target="https://www.transparentno.hr/" TargetMode="External"/><Relationship Id="rId3" Type="http://schemas.openxmlformats.org/officeDocument/2006/relationships/styles" Target="styles.xml"/><Relationship Id="rId21" Type="http://schemas.openxmlformats.org/officeDocument/2006/relationships/hyperlink" Target="https://www.transparentno.hr/pregled/92590467310/1298d8d61d91aa0555f255dbc9051bd782cd2c706dc9ed281acb3960d693821b88e582cef59b2ab15b9f370300dec961d7f1f154523d8a3210331695d7841cb4" TargetMode="External"/><Relationship Id="rId7" Type="http://schemas.openxmlformats.org/officeDocument/2006/relationships/footnotes" Target="footnotes.xml"/><Relationship Id="rId12" Type="http://schemas.openxmlformats.org/officeDocument/2006/relationships/hyperlink" Target="https://www.transparentno.hr/pregled/50686195916/95d21edb84993c5f8877ed1b863fbabfe95b43332bed2ef55f7113453d351d675b70b36349abffb61540f4b3df9ff7bea0dbf07b3fce2bbeabfe0623e0658047" TargetMode="External"/><Relationship Id="rId17" Type="http://schemas.openxmlformats.org/officeDocument/2006/relationships/hyperlink" Target="https://www.transparentno.hr/pregled/83462362655/45bcf7a9ec8d2ca5a520ef81428755b55095da66116642ab846788c5169979cc5e68659efbbbc4aad3ab060f4a187113f07b4e2273643a887cc4d9d597cd9fe9" TargetMode="External"/><Relationship Id="rId25" Type="http://schemas.openxmlformats.org/officeDocument/2006/relationships/hyperlink" Target="http://rgfi.fina.hr/JavnaObjava-web/jsp/prijavaKorisnika.jsp" TargetMode="External"/><Relationship Id="rId2" Type="http://schemas.openxmlformats.org/officeDocument/2006/relationships/numbering" Target="numbering.xml"/><Relationship Id="rId16" Type="http://schemas.openxmlformats.org/officeDocument/2006/relationships/hyperlink" Target="https://www.transparentno.hr/pregled/00278260010/ea4ae4ed9e98cf8c4592708da6f93ee0bedb59344ef6ff39a3192c9bfc8063ec6b046dea4e391f64bc3a1de9f0e723f76bc9872c101eaadb668143fc74968189" TargetMode="External"/><Relationship Id="rId20" Type="http://schemas.openxmlformats.org/officeDocument/2006/relationships/hyperlink" Target="https://www.transparentno.hr/pregled/18556905592/54362d71d2b2cb58cfaf08cb41e0a833a902a8ee2f85a81151cb29c5fecef0ffdb8ed083358a46b53cc119e18b04d747ab27dc7d421ec05ccb2347ea69bb4544" TargetMode="External"/><Relationship Id="rId29" Type="http://schemas.openxmlformats.org/officeDocument/2006/relationships/hyperlink" Target="http://www.fina.hr/Default.aspx?sec=9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tno.hr/pregled/40012316410/fcde966fdd7f7b3ff93d72984c45bee41af465ca41c5d8765b51e839cc82ac9ef4108c40f84e01f2b7746efe2290e3704bca5b6fbf729e72904e541217425144" TargetMode="External"/><Relationship Id="rId24" Type="http://schemas.openxmlformats.org/officeDocument/2006/relationships/hyperlink" Target="http://www.fina.hr/Default.aspx?sec=127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ransparentno.hr/pregled/33060874644/9958b219772e59d7f300d2e859df87dfe9bfdeb0c0baa087a4d26b2d504cbf9b8e696ba0e6c8fdf490f8ac94284a465c460b75268d195d1d03b34fe7bb233178" TargetMode="External"/><Relationship Id="rId23" Type="http://schemas.openxmlformats.org/officeDocument/2006/relationships/image" Target="media/image4.png"/><Relationship Id="rId28" Type="http://schemas.openxmlformats.org/officeDocument/2006/relationships/hyperlink" Target="https://jrr.fina.hr/jrir/" TargetMode="External"/><Relationship Id="rId10" Type="http://schemas.openxmlformats.org/officeDocument/2006/relationships/image" Target="media/image1.jpeg"/><Relationship Id="rId19" Type="http://schemas.openxmlformats.org/officeDocument/2006/relationships/hyperlink" Target="https://www.transparentno.hr/pregled/33060874644/9958b219772e59d7f300d2e859df87dfe9bfdeb0c0baa087a4d26b2d504cbf9b8e696ba0e6c8fdf490f8ac94284a465c460b75268d195d1d03b34fe7bb23317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hr/imgres?imgurl=http://www.klis.hr/wp-content/uploads/2016/06/urbana-agl.-540x381.jpg&amp;imgrefurl=https://www.klis.hr/2278/javni-poziv-za-iskazivanje-prijedloga-i-primjedbi-na-nacrt-strategije-razvoja-urbane-aglomeracije-split-za-razdoblje-2015-2020/&amp;docid=8r2pckwK-e7vKM&amp;tbnid=esxiT_9WNNLSBM:&amp;vet=10ahUKEwiYw5HP9PvZAhVBPFAKHT-tDZoQMwg-KAwwDA..i&amp;w=540&amp;h=381&amp;itg=1&amp;bih=585&amp;biw=1280&amp;q=urbana%20aglomeracija%20split&amp;ved=0ahUKEwiYw5HP9PvZAhVBPFAKHT-tDZoQMwg-KAwwDA&amp;iact=mrc&amp;uact=8" TargetMode="External"/><Relationship Id="rId14" Type="http://schemas.openxmlformats.org/officeDocument/2006/relationships/hyperlink" Target="https://www.transparentno.hr/pregled/00278260010/ea4ae4ed9e98cf8c4592708da6f93ee0bedb59344ef6ff39a3192c9bfc8063ec6b046dea4e391f64bc3a1de9f0e723f76bc9872c101eaadb668143fc74968189" TargetMode="External"/><Relationship Id="rId22" Type="http://schemas.openxmlformats.org/officeDocument/2006/relationships/image" Target="media/image3.png"/><Relationship Id="rId27" Type="http://schemas.openxmlformats.org/officeDocument/2006/relationships/hyperlink" Target="http://www.fina.hr/Default.aspx?sec=1538"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http://regionalni.weebly.com/urbana-podru269ja.html" TargetMode="External"/><Relationship Id="rId1" Type="http://schemas.openxmlformats.org/officeDocument/2006/relationships/hyperlink" Target="https://razvoj.gov.hr/prva-urbana-aglomeracija-u-republici-hrvatskoj-urbana-aglomeracija-split/3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0B15-9B3F-4EE5-BEAA-1A06F62F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2216</Words>
  <Characters>12633</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Jonjić</dc:creator>
  <cp:lastModifiedBy>admin</cp:lastModifiedBy>
  <cp:revision>4</cp:revision>
  <dcterms:created xsi:type="dcterms:W3CDTF">2019-05-03T09:14:00Z</dcterms:created>
  <dcterms:modified xsi:type="dcterms:W3CDTF">2019-05-03T11:05:00Z</dcterms:modified>
</cp:coreProperties>
</file>