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65" w:rsidRPr="00D24D79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D24D7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REZULTATI POSLOVANJA PODUZETNIKA U DJELATNOSTI OSTALOG KOPNENOG</w:t>
      </w:r>
    </w:p>
    <w:p w:rsidR="00E97781" w:rsidRPr="00D24D79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D24D7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PRIJEVOZA PUTNIKA</w:t>
      </w:r>
      <w:r w:rsidR="00C733B9" w:rsidRPr="00D24D7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U </w:t>
      </w:r>
      <w:r w:rsidR="00D24D79" w:rsidRPr="00D24D7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2018</w:t>
      </w:r>
      <w:r w:rsidR="0007629D" w:rsidRPr="00D24D7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.</w:t>
      </w:r>
      <w:r w:rsidRPr="00D24D79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GODINI</w:t>
      </w:r>
    </w:p>
    <w:p w:rsidR="00E97781" w:rsidRPr="006D2202" w:rsidRDefault="00E97781" w:rsidP="003746FD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Prema podacima iz obrađenih godišnjih</w:t>
      </w:r>
      <w:r w:rsidR="00265B93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financijskih izvještaja, u </w:t>
      </w:r>
      <w:r w:rsidR="0007629D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201</w:t>
      </w:r>
      <w:r w:rsidR="00DD3347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8</w:t>
      </w:r>
      <w:r w:rsidR="0007629D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godini, u području djelatnosti H – </w:t>
      </w:r>
      <w:r w:rsidR="00CE13AE">
        <w:rPr>
          <w:rFonts w:ascii="Arial" w:eastAsia="Calibri" w:hAnsi="Arial" w:cs="Arial"/>
          <w:color w:val="17365D" w:themeColor="text2" w:themeShade="BF"/>
          <w:sz w:val="20"/>
          <w:szCs w:val="20"/>
        </w:rPr>
        <w:t>P</w:t>
      </w:r>
      <w:r w:rsidR="00CE13AE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rijevoz i skladištenje</w:t>
      </w:r>
      <w:r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poslovalo je ukupno </w:t>
      </w:r>
      <w:r w:rsidR="00023384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5</w:t>
      </w:r>
      <w:r w:rsid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023384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907</w:t>
      </w:r>
      <w:r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poduzetnika, od čega je njih </w:t>
      </w:r>
      <w:r w:rsidR="00023384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4</w:t>
      </w:r>
      <w:r w:rsid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023384"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>290</w:t>
      </w:r>
      <w:r w:rsidRPr="0002338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kao pretežitu djelatnost, registriralo djelatnost kopnenog prijevoza i cjevovodnog transporta (NKD 49). </w:t>
      </w:r>
      <w:r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Kod poduzetnika u području djelatnosti </w:t>
      </w:r>
      <w:r w:rsidR="00BD5E37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skladištenja,</w:t>
      </w:r>
      <w:r w:rsidR="00620104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023384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2018</w:t>
      </w:r>
      <w:r w:rsidR="0007629D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620104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bilo je </w:t>
      </w:r>
      <w:r w:rsidR="003E4963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68</w:t>
      </w:r>
      <w:r w:rsid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3E4963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513</w:t>
      </w:r>
      <w:r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zaposlenih, od kojih je </w:t>
      </w:r>
      <w:r w:rsidR="003E4963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35.023</w:t>
      </w:r>
      <w:r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3E4963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>51,1</w:t>
      </w:r>
      <w:r w:rsidR="00015175"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3E496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%) bilo zaposleno u </w:t>
      </w:r>
      <w:r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odjeljku djelatnosti kopnenog prijevoza i cjevovodnog transporta (NKD 49), </w:t>
      </w:r>
      <w:r w:rsid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 predstavlja porast </w:t>
      </w:r>
      <w:r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broja zaposlenih od </w:t>
      </w:r>
      <w:r w:rsidR="006D2202"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>20,8</w:t>
      </w:r>
      <w:r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20104"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 u odnosu na </w:t>
      </w:r>
      <w:r w:rsidR="006D2202"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>2017</w:t>
      </w:r>
      <w:r w:rsidR="0007629D"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BD5E37"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BD5E37" w:rsidRPr="006D2202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671EA1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kopnenog prijevoza i cjevov</w:t>
      </w:r>
      <w:r w:rsidR="00AE351A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odnog transporta (NKD 49) u </w:t>
      </w:r>
      <w:r w:rsidR="006D2202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2018</w:t>
      </w:r>
      <w:r w:rsidR="0007629D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ostvarili su neto dobit u iznosu od </w:t>
      </w:r>
      <w:r w:rsidR="00671EA1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gotovo </w:t>
      </w:r>
      <w:r w:rsid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645,7</w:t>
      </w:r>
      <w:r w:rsidR="006D2202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milijuna</w:t>
      </w: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(</w:t>
      </w:r>
      <w:r w:rsidR="004E2705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smanjenje</w:t>
      </w: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671EA1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2,5</w:t>
      </w: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%) i sudjelovali s </w:t>
      </w:r>
      <w:r w:rsidR="00671EA1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51,1</w:t>
      </w: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iskazanoj neto dobiti poduzetnika u području djelatnosti </w:t>
      </w:r>
      <w:r w:rsidR="00BD5E37"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</w:t>
      </w:r>
      <w:r w:rsidRPr="00671EA1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E97781" w:rsidRPr="00D24D79" w:rsidRDefault="00E97781" w:rsidP="00E9254A">
      <w:pPr>
        <w:widowControl w:val="0"/>
        <w:tabs>
          <w:tab w:val="left" w:pos="1276"/>
          <w:tab w:val="right" w:pos="9781"/>
        </w:tabs>
        <w:spacing w:before="180" w:after="0" w:line="240" w:lineRule="auto"/>
        <w:ind w:left="1140" w:hanging="114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 području djelatnosti H i od</w:t>
      </w:r>
      <w:r w:rsidR="00DD4AEE"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jeljku djelatnosti NKD 49 u </w:t>
      </w:r>
      <w:r w:rsidR="00D24D79"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2018</w:t>
      </w:r>
      <w:r w:rsidR="0007629D"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73187"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C73187" w:rsidRPr="00D24D7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D24D79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kn)</w:t>
      </w:r>
    </w:p>
    <w:p w:rsidR="00E97781" w:rsidRPr="00D24D79" w:rsidRDefault="00E97781" w:rsidP="00E97781">
      <w:pPr>
        <w:widowControl w:val="0"/>
        <w:tabs>
          <w:tab w:val="left" w:pos="1276"/>
          <w:tab w:val="right" w:pos="9639"/>
        </w:tabs>
        <w:spacing w:before="40" w:after="0" w:line="240" w:lineRule="auto"/>
        <w:ind w:left="1140" w:hanging="1140"/>
        <w:jc w:val="right"/>
        <w:rPr>
          <w:rFonts w:ascii="Arial" w:eastAsia="Times New Roman" w:hAnsi="Arial" w:cs="Arial"/>
          <w:color w:val="FF0000"/>
          <w:sz w:val="2"/>
          <w:szCs w:val="16"/>
          <w:lang w:eastAsia="hr-HR"/>
        </w:rPr>
      </w:pPr>
    </w:p>
    <w:tbl>
      <w:tblPr>
        <w:tblW w:w="9922" w:type="dxa"/>
        <w:jc w:val="center"/>
        <w:tblInd w:w="408" w:type="dxa"/>
        <w:tblLayout w:type="fixed"/>
        <w:tblLook w:val="04A0" w:firstRow="1" w:lastRow="0" w:firstColumn="1" w:lastColumn="0" w:noHBand="0" w:noVBand="1"/>
      </w:tblPr>
      <w:tblGrid>
        <w:gridCol w:w="3912"/>
        <w:gridCol w:w="1134"/>
        <w:gridCol w:w="1134"/>
        <w:gridCol w:w="737"/>
        <w:gridCol w:w="1134"/>
        <w:gridCol w:w="1134"/>
        <w:gridCol w:w="737"/>
      </w:tblGrid>
      <w:tr w:rsidR="00820793" w:rsidRPr="00820793" w:rsidTr="003746FD">
        <w:trPr>
          <w:trHeight w:val="397"/>
          <w:jc w:val="center"/>
        </w:trPr>
        <w:tc>
          <w:tcPr>
            <w:tcW w:w="39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E97781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E97781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Ukupno područje djelatnosti H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E97781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NKD 49 Kopneni prijevoz i cjevovodni transport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E97781" w:rsidP="00447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D24D79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2017</w:t>
            </w:r>
            <w:r w:rsidR="0007629D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D24D79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2018</w:t>
            </w:r>
            <w:r w:rsidR="0007629D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E97781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D24D79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2017</w:t>
            </w:r>
            <w:r w:rsidR="0007629D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D24D79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2018</w:t>
            </w:r>
            <w:r w:rsidR="0007629D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.</w:t>
            </w:r>
            <w:r w:rsidR="00E97781"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E97781" w:rsidRPr="00D451B5" w:rsidRDefault="00E97781" w:rsidP="00447D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5.907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4.290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bCs/>
                <w:color w:val="16365C"/>
                <w:sz w:val="17"/>
                <w:szCs w:val="17"/>
              </w:rPr>
              <w:t>-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Broj </w:t>
            </w:r>
            <w:proofErr w:type="spellStart"/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dobitaša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3.413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4.148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2.461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3.095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125,8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1.443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1.759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974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1.195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122,7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61.497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68.513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28.999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35.023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120,8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34.416.591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38.083.171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16.394.518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19.017.420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116,0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32.361.685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36.454.847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15.353.989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18.174.399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118,4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2.597.519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2.430.117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1.251.894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1.123.077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89,7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542.613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801.793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211.366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280.056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132,5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356.006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365.743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207.776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197.276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94,9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2.225.439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2.049.063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1.044.654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926.724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88,7</w:t>
            </w:r>
          </w:p>
        </w:tc>
      </w:tr>
      <w:tr w:rsidR="00820793" w:rsidRPr="00820793" w:rsidTr="00794043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526.538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786.482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211.902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280.979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132,6</w:t>
            </w:r>
          </w:p>
        </w:tc>
      </w:tr>
      <w:tr w:rsidR="00820793" w:rsidRPr="00820793" w:rsidTr="00794043">
        <w:trPr>
          <w:trHeight w:val="454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color w:val="16365C"/>
                <w:sz w:val="17"/>
                <w:szCs w:val="17"/>
              </w:rPr>
              <w:t>1.698.901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color w:val="16365C"/>
                <w:sz w:val="17"/>
                <w:szCs w:val="17"/>
              </w:rPr>
              <w:t>1.262.581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color w:val="16365C"/>
                <w:sz w:val="17"/>
                <w:szCs w:val="17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color w:val="16365C"/>
                <w:sz w:val="17"/>
                <w:szCs w:val="17"/>
              </w:rPr>
              <w:t>832.752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color w:val="16365C"/>
                <w:sz w:val="17"/>
                <w:szCs w:val="17"/>
              </w:rPr>
              <w:t>645.745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b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b/>
                <w:color w:val="16365C"/>
                <w:sz w:val="17"/>
                <w:szCs w:val="17"/>
              </w:rPr>
              <w:t>77,5</w:t>
            </w:r>
          </w:p>
        </w:tc>
      </w:tr>
      <w:tr w:rsidR="00820793" w:rsidRPr="00820793" w:rsidTr="00794043">
        <w:trPr>
          <w:trHeight w:val="283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10.702.460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11.929.410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3.779.125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4.232.225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112,0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1.491.792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1.869.557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747.622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896.750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119,9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9.210.668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10.059.853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3.031.503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3.335.475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110,0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2.131.726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1.856.841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972.411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1.041.032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107,1</w:t>
            </w:r>
          </w:p>
        </w:tc>
      </w:tr>
      <w:tr w:rsidR="00820793" w:rsidRPr="00820793" w:rsidTr="003746FD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47D31" w:rsidRPr="00D451B5" w:rsidRDefault="00447D31" w:rsidP="00447D31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D451B5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Prosječna mjesečna neto plaća po zaposlen.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5.897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6.161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4.823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5.177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47D31" w:rsidRPr="00D451B5" w:rsidRDefault="00447D31" w:rsidP="00447D31">
            <w:pPr>
              <w:spacing w:after="0"/>
              <w:jc w:val="right"/>
              <w:rPr>
                <w:rFonts w:ascii="Arial" w:hAnsi="Arial" w:cs="Arial"/>
                <w:color w:val="16365C"/>
                <w:sz w:val="17"/>
                <w:szCs w:val="17"/>
              </w:rPr>
            </w:pPr>
            <w:r w:rsidRPr="00D451B5">
              <w:rPr>
                <w:rFonts w:ascii="Arial" w:hAnsi="Arial" w:cs="Arial"/>
                <w:color w:val="16365C"/>
                <w:sz w:val="17"/>
                <w:szCs w:val="17"/>
              </w:rPr>
              <w:t>107,3</w:t>
            </w:r>
          </w:p>
        </w:tc>
      </w:tr>
    </w:tbl>
    <w:p w:rsidR="00E97781" w:rsidRPr="00D24D79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D24D7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DD4AEE" w:rsidRPr="00D24D7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D24D79" w:rsidRPr="00D24D7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2018</w:t>
      </w:r>
      <w:r w:rsidR="0007629D" w:rsidRPr="00D24D7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</w:t>
      </w:r>
      <w:r w:rsidRPr="00D24D7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godinu</w:t>
      </w:r>
    </w:p>
    <w:p w:rsidR="00E97781" w:rsidRPr="009B615A" w:rsidRDefault="00AE351A" w:rsidP="003746FD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07629D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</w:t>
      </w:r>
      <w:r w:rsidR="00671EA1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="0007629D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E97781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poduzetnici skupine djelatnosti NKD 49.3 - Ostali kopneni prijevoz putnika, iskazali su pozitivan financijski rezultat (</w:t>
      </w:r>
      <w:r w:rsidR="006F4CCE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gotovo 14</w:t>
      </w:r>
      <w:r w:rsidR="004E2705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97781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milijuna kuna), </w:t>
      </w:r>
      <w:r w:rsidR="004E2705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što je u odnosu</w:t>
      </w:r>
      <w:r w:rsidR="006F4CCE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2017</w:t>
      </w:r>
      <w:r w:rsidR="004E2705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godinu</w:t>
      </w:r>
      <w:r w:rsidR="00E97781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F4CCE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povećanje</w:t>
      </w:r>
      <w:r w:rsidR="004E2705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97781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="006F4CCE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14,5</w:t>
      </w:r>
      <w:r w:rsidR="004E2705" w:rsidRPr="006F4CC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</w:t>
      </w:r>
      <w:r w:rsidR="00E9778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Ukupan prihod poduzetnika čija je pretežita djelatnost ostali kopneni prijevoz putnika (NKD 49.3), </w:t>
      </w:r>
      <w:r w:rsidR="00D26A64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2018</w:t>
      </w:r>
      <w:r w:rsidR="0007629D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E9778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iznosio je 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4,5</w:t>
      </w:r>
      <w:r w:rsidR="00F401A2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milijardi</w:t>
      </w:r>
      <w:r w:rsidR="00E9778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što je za 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</w:t>
      </w:r>
      <w:r w:rsid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,0</w:t>
      </w:r>
      <w:r w:rsidR="00E9778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više nego u prethodnom razdoblju. Povećani su i ukupni rashodi i to za 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49,3</w:t>
      </w:r>
      <w:r w:rsidR="00E9778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</w:t>
      </w:r>
      <w:r w:rsidR="00E9254A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(s 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3,0 milijarde kuna u 2017</w:t>
      </w:r>
      <w:r w:rsidR="00E9254A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C06A5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</w:t>
      </w:r>
      <w:r w:rsidR="003E3A6F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 4,5 milijardi kuna u 2018</w:t>
      </w:r>
      <w:r w:rsidR="00E9254A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</w:t>
      </w:r>
      <w:r w:rsidR="003746FD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odini</w:t>
      </w:r>
      <w:r w:rsidR="00E9254A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E97781" w:rsidRPr="003E3A6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3746FD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Zaposlenima kod poduzetnika u djelatnosti ostalog kopnenog prijevoza putnika obračunana je p</w:t>
      </w:r>
      <w:r w:rsidR="00E97781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rosječna mjesečna neto plaća </w:t>
      </w:r>
      <w:r w:rsidR="003746FD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</w:t>
      </w:r>
      <w:r w:rsidR="00E97781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znos</w:t>
      </w:r>
      <w:r w:rsidR="003746FD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od</w:t>
      </w:r>
      <w:r w:rsidR="00E97781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9B615A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5.364</w:t>
      </w:r>
      <w:r w:rsidR="00E97781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:rsidR="00D809C6" w:rsidRPr="009B615A" w:rsidRDefault="00D809C6" w:rsidP="00E97781">
      <w:pPr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Predmet ove analize su poduzetnici u skupini djelatnosti 49.3 - Ostali kopneni prijevoz putnika i </w:t>
      </w:r>
      <w:r w:rsidR="00E04786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tri</w:t>
      </w:r>
      <w:r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razreda djelatnosti unutar te skupine djelatnosti:</w:t>
      </w:r>
    </w:p>
    <w:p w:rsidR="00D809C6" w:rsidRPr="009B615A" w:rsidRDefault="00D809C6" w:rsidP="00646516">
      <w:pPr>
        <w:pStyle w:val="Odlomakpopisa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49.31 - Gradski i prigradski kopneni prijevoz putnika</w:t>
      </w:r>
      <w:r w:rsidR="003A7998" w:rsidRPr="009B615A">
        <w:rPr>
          <w:rStyle w:val="Referencafusnot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1"/>
      </w:r>
      <w:r w:rsidR="00976147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;</w:t>
      </w:r>
    </w:p>
    <w:p w:rsidR="00D809C6" w:rsidRPr="009B615A" w:rsidRDefault="00D809C6" w:rsidP="00646516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49.32 - Taksi služba</w:t>
      </w:r>
      <w:r w:rsidR="00976147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;</w:t>
      </w:r>
    </w:p>
    <w:p w:rsidR="00D809C6" w:rsidRPr="009B615A" w:rsidRDefault="00D809C6" w:rsidP="00646516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49.39 - Ostali kopneni prijevoz putnika, d. n.</w:t>
      </w:r>
      <w:r w:rsidR="0096031B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(skraćeno od drugdje nespomenuto)</w:t>
      </w:r>
      <w:r w:rsidR="003A7998" w:rsidRPr="009B615A">
        <w:rPr>
          <w:rStyle w:val="Referencafusnote"/>
          <w:rFonts w:ascii="Arial" w:eastAsia="Times New Roman" w:hAnsi="Arial"/>
          <w:color w:val="17365D" w:themeColor="text2" w:themeShade="BF"/>
          <w:sz w:val="20"/>
          <w:szCs w:val="20"/>
          <w:lang w:eastAsia="hr-HR"/>
        </w:rPr>
        <w:footnoteReference w:id="2"/>
      </w:r>
      <w:r w:rsidR="00976147" w:rsidRPr="009B6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D809C6" w:rsidRDefault="00E97781" w:rsidP="00F74AD9">
      <w:pPr>
        <w:pageBreakBefore/>
        <w:widowControl w:val="0"/>
        <w:spacing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lastRenderedPageBreak/>
        <w:t xml:space="preserve">Unutar skupine </w:t>
      </w:r>
      <w:r w:rsidR="00C57B15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stal</w:t>
      </w:r>
      <w:r w:rsidR="00C57B15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C57B15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C57B15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</w:t>
      </w:r>
      <w:r w:rsidR="00C57B15" w:rsidRPr="009B615A">
        <w:rPr>
          <w:color w:val="17365D" w:themeColor="text2" w:themeShade="BF"/>
        </w:rPr>
        <w:t xml:space="preserve"> (NKD </w:t>
      </w:r>
      <w:r w:rsidR="00C57B15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49.3),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13251B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najviše je poduzetnika čija je pretežita djelatnost 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taksi služba (NKD 49.32</w:t>
      </w:r>
      <w:r w:rsidR="0013251B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), ukupno ih je 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838</w:t>
      </w:r>
      <w:r w:rsidR="0013251B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 drugom mjestu nalaze se nešto brojno manji skup poduzetnika (561 poduzetnik) iz djelatnosti ostali kopneni prijevoz putnika, d.n. </w:t>
      </w:r>
      <w:r w:rsidR="0013251B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Taj je skup poduzetnika </w:t>
      </w:r>
      <w:r w:rsidR="00D809C6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ostvari</w:t>
      </w:r>
      <w:r w:rsidR="0013251B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</w:t>
      </w:r>
      <w:r w:rsidR="00D809C6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304850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gotovo </w:t>
      </w:r>
      <w:r w:rsid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2,6</w:t>
      </w:r>
      <w:r w:rsidR="003D54B4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milijardi</w:t>
      </w:r>
      <w:r w:rsidR="00D809C6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prihoda </w:t>
      </w:r>
      <w:r w:rsid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ili 56,6% ukupnog prihoda djelatnosti ostali kopneni prijevoz putnika</w:t>
      </w:r>
      <w:r w:rsidR="00D809C6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07093C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Ovaj razred djelatnosti je ostvario najveću ostvarenu dobit i to </w:t>
      </w:r>
      <w:r w:rsidR="00D809C6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iznosu od 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gotovo 45,1 milijun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kuna. </w:t>
      </w:r>
    </w:p>
    <w:p w:rsidR="00F74AD9" w:rsidRPr="0037582F" w:rsidRDefault="00F74AD9" w:rsidP="00F74AD9">
      <w:pPr>
        <w:widowControl w:val="0"/>
        <w:tabs>
          <w:tab w:val="left" w:pos="1134"/>
        </w:tabs>
        <w:spacing w:before="180" w:after="40" w:line="240" w:lineRule="auto"/>
        <w:jc w:val="both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37582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</w:t>
      </w:r>
      <w:r w:rsidRPr="0037582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  <w:t xml:space="preserve">Dobit razdoblja društva RIJEKA plus d.o.o. u razdoblju od 2014. do 2018. godine </w:t>
      </w:r>
      <w:r w:rsidRPr="0037582F">
        <w:rPr>
          <w:rFonts w:ascii="Arial" w:eastAsia="Calibri" w:hAnsi="Arial" w:cs="Arial"/>
          <w:color w:val="244061" w:themeColor="accent1" w:themeShade="80"/>
          <w:sz w:val="18"/>
          <w:szCs w:val="18"/>
        </w:rPr>
        <w:t>(iznosi u kunama)</w:t>
      </w:r>
    </w:p>
    <w:tbl>
      <w:tblPr>
        <w:tblW w:w="9927" w:type="dxa"/>
        <w:jc w:val="center"/>
        <w:tblInd w:w="-156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1247"/>
        <w:gridCol w:w="1247"/>
        <w:gridCol w:w="1247"/>
        <w:gridCol w:w="1247"/>
        <w:gridCol w:w="1247"/>
      </w:tblGrid>
      <w:tr w:rsidR="00F74AD9" w:rsidRPr="00961B6D" w:rsidTr="00882BE9">
        <w:trPr>
          <w:trHeight w:val="283"/>
          <w:jc w:val="center"/>
        </w:trPr>
        <w:tc>
          <w:tcPr>
            <w:tcW w:w="3692" w:type="dxa"/>
            <w:shd w:val="clear" w:color="auto" w:fill="244061" w:themeFill="accent1" w:themeFillShade="80"/>
            <w:noWrap/>
            <w:vAlign w:val="center"/>
            <w:hideMark/>
          </w:tcPr>
          <w:p w:rsidR="00F74AD9" w:rsidRPr="0037582F" w:rsidRDefault="00F74AD9" w:rsidP="00882BE9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47" w:type="dxa"/>
            <w:shd w:val="clear" w:color="auto" w:fill="244061" w:themeFill="accent1" w:themeFillShade="80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1247" w:type="dxa"/>
            <w:shd w:val="clear" w:color="auto" w:fill="244061" w:themeFill="accent1" w:themeFillShade="80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247" w:type="dxa"/>
            <w:shd w:val="clear" w:color="auto" w:fill="244061" w:themeFill="accent1" w:themeFillShade="80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1247" w:type="dxa"/>
            <w:shd w:val="clear" w:color="auto" w:fill="244061" w:themeFill="accent1" w:themeFillShade="80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1247" w:type="dxa"/>
            <w:shd w:val="clear" w:color="auto" w:fill="244061" w:themeFill="accent1" w:themeFillShade="80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2018.</w:t>
            </w:r>
          </w:p>
        </w:tc>
      </w:tr>
      <w:tr w:rsidR="00F74AD9" w:rsidRPr="00961B6D" w:rsidTr="00882BE9">
        <w:trPr>
          <w:trHeight w:val="283"/>
          <w:jc w:val="center"/>
        </w:trPr>
        <w:tc>
          <w:tcPr>
            <w:tcW w:w="3692" w:type="dxa"/>
            <w:shd w:val="clear" w:color="auto" w:fill="auto"/>
            <w:noWrap/>
            <w:vAlign w:val="center"/>
            <w:hideMark/>
          </w:tcPr>
          <w:p w:rsidR="00F74AD9" w:rsidRPr="0037582F" w:rsidRDefault="00F74AD9" w:rsidP="00882BE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</w:pPr>
            <w:r w:rsidRPr="0037582F">
              <w:rPr>
                <w:rFonts w:ascii="Arial" w:eastAsia="Times New Roman" w:hAnsi="Arial" w:cs="Arial"/>
                <w:color w:val="244061" w:themeColor="accent1" w:themeShade="80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9.845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474.664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2.178.999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3.662.840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F74AD9" w:rsidRPr="0037582F" w:rsidRDefault="00F74AD9" w:rsidP="00882B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7582F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5.101.006</w:t>
            </w:r>
          </w:p>
        </w:tc>
      </w:tr>
    </w:tbl>
    <w:p w:rsidR="00F74AD9" w:rsidRDefault="00F74AD9" w:rsidP="00F74AD9">
      <w:pPr>
        <w:spacing w:after="40"/>
        <w:jc w:val="both"/>
        <w:rPr>
          <w:rFonts w:ascii="Arial" w:eastAsia="Times New Roman" w:hAnsi="Arial" w:cs="Times New Roman"/>
          <w:i/>
          <w:color w:val="0000FF" w:themeColor="hyperlink"/>
          <w:sz w:val="16"/>
          <w:szCs w:val="16"/>
          <w:u w:val="single"/>
          <w:lang w:eastAsia="hr-HR"/>
        </w:rPr>
      </w:pPr>
      <w:r w:rsidRPr="00A65C3A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9" w:history="1">
        <w:r w:rsidRPr="00A65C3A">
          <w:rPr>
            <w:rFonts w:ascii="Arial" w:eastAsia="Times New Roman" w:hAnsi="Arial" w:cs="Times New Roman"/>
            <w:i/>
            <w:color w:val="0000FF" w:themeColor="hyperlink"/>
            <w:sz w:val="16"/>
            <w:szCs w:val="16"/>
            <w:u w:val="single"/>
            <w:lang w:eastAsia="hr-HR"/>
          </w:rPr>
          <w:t>info.BIZ</w:t>
        </w:r>
      </w:hyperlink>
    </w:p>
    <w:p w:rsidR="00F74AD9" w:rsidRDefault="00F74AD9" w:rsidP="00F74AD9">
      <w:pPr>
        <w:widowControl w:val="0"/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24093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 prvom mjestu po ostvarenoj dobiti razdoblja je </w:t>
      </w:r>
      <w:hyperlink r:id="rId10" w:history="1">
        <w:r w:rsidRPr="00C976C8">
          <w:rPr>
            <w:rStyle w:val="Hiperveza"/>
            <w:rFonts w:ascii="Arial" w:eastAsia="Calibri" w:hAnsi="Arial" w:cs="Arial"/>
            <w:sz w:val="20"/>
            <w:szCs w:val="20"/>
          </w:rPr>
          <w:t>RIJEKA PLUS d.o.o.</w:t>
        </w:r>
      </w:hyperlink>
      <w:r w:rsidRPr="0024093F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iz Rijeke, s ostvarenih 5,1 milijun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dobiti (7,4% dobiti razdoblja skupine djelatnosti 49.3).</w:t>
      </w:r>
    </w:p>
    <w:p w:rsidR="002523DC" w:rsidRPr="009511A8" w:rsidRDefault="002523DC" w:rsidP="002523DC">
      <w:pPr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1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RIJEKA PLUS d.o.o. - rang u području djelatnosti, usporedba s područjem prema pokazateljima poslovanja i kretanje kreditnog rejtinga </w:t>
      </w:r>
      <w:r w:rsidR="00794043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i ukupnog prihoda 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od 2014. do 2018. g</w:t>
      </w:r>
      <w:r w:rsidR="00794043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odine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 </w:t>
      </w:r>
    </w:p>
    <w:p w:rsidR="002523DC" w:rsidRDefault="002523DC" w:rsidP="002523DC">
      <w:pPr>
        <w:widowControl w:val="0"/>
        <w:spacing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7226CDC6" wp14:editId="6235F440">
            <wp:extent cx="1740089" cy="1364776"/>
            <wp:effectExtent l="0" t="0" r="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3143" cy="13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1B76F3BA" wp14:editId="3D70D7F3">
            <wp:extent cx="1746913" cy="1371600"/>
            <wp:effectExtent l="0" t="0" r="571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6913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2EBB69DE">
            <wp:extent cx="2790967" cy="13716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531" cy="1374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043" w:rsidRDefault="00794043" w:rsidP="00A65C3A">
      <w:pPr>
        <w:spacing w:after="40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7B0D616B" wp14:editId="0A00F4CD">
            <wp:extent cx="6264000" cy="1224000"/>
            <wp:effectExtent l="0" t="0" r="381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40378" r="2663" b="22464"/>
                    <a:stretch/>
                  </pic:blipFill>
                  <pic:spPr bwMode="auto">
                    <a:xfrm>
                      <a:off x="0" y="0"/>
                      <a:ext cx="6264000" cy="12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C3A" w:rsidRPr="00A65C3A" w:rsidRDefault="00A65C3A" w:rsidP="00A65C3A">
      <w:pPr>
        <w:spacing w:after="40"/>
        <w:jc w:val="both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A65C3A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5" w:history="1">
        <w:r w:rsidRPr="00A65C3A">
          <w:rPr>
            <w:rFonts w:ascii="Arial" w:eastAsia="Times New Roman" w:hAnsi="Arial" w:cs="Times New Roman"/>
            <w:i/>
            <w:color w:val="0000FF" w:themeColor="hyperlink"/>
            <w:sz w:val="16"/>
            <w:szCs w:val="16"/>
            <w:u w:val="single"/>
            <w:lang w:eastAsia="hr-HR"/>
          </w:rPr>
          <w:t>info.BIZ</w:t>
        </w:r>
      </w:hyperlink>
    </w:p>
    <w:p w:rsidR="00BA0EFB" w:rsidRDefault="00311D23" w:rsidP="00794043">
      <w:pPr>
        <w:widowControl w:val="0"/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Najveći broj zaposlenih u 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2018</w:t>
      </w:r>
      <w:r w:rsidR="0007629D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7A4649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991E6F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7A4649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odini</w:t>
      </w:r>
      <w:r w:rsidR="00991E6F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evidentiran je </w:t>
      </w:r>
      <w:r w:rsidR="007A4649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kod poduzetnika u </w:t>
      </w:r>
      <w:r w:rsidR="0013251B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ostalog kopnenog prijevoza putnika (NKD 49.39), </w:t>
      </w:r>
      <w:r w:rsidR="007A4649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njih </w:t>
      </w:r>
      <w:r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6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.323</w:t>
      </w:r>
      <w:r w:rsidR="007A4649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je povećanje od 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1,9</w:t>
      </w:r>
      <w:r w:rsidR="007A4649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% u odnosu na broj zaposlenih u </w:t>
      </w:r>
      <w:r w:rsidR="009B615A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2017</w:t>
      </w:r>
      <w:r w:rsidR="003746FD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</w:t>
      </w:r>
      <w:r w:rsidR="00290C05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="003746FD" w:rsidRPr="009B615A">
        <w:rPr>
          <w:rFonts w:ascii="Arial" w:eastAsia="Calibri" w:hAnsi="Arial" w:cs="Arial"/>
          <w:color w:val="17365D" w:themeColor="text2" w:themeShade="BF"/>
          <w:sz w:val="20"/>
          <w:szCs w:val="20"/>
        </w:rPr>
        <w:t>odini</w:t>
      </w:r>
      <w:r w:rsidR="00290C05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290C05" w:rsidRPr="009511A8" w:rsidRDefault="00290C05" w:rsidP="00290C05">
      <w:pPr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</w:pP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Grafikon </w:t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1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>.</w:t>
      </w:r>
      <w:r w:rsidRPr="009511A8"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ab/>
      </w:r>
      <w:r>
        <w:rPr>
          <w:rFonts w:ascii="Arial" w:eastAsia="Times New Roman" w:hAnsi="Arial" w:cs="Times New Roman"/>
          <w:b/>
          <w:color w:val="17365D" w:themeColor="text2" w:themeShade="BF"/>
          <w:sz w:val="18"/>
          <w:szCs w:val="18"/>
          <w:lang w:eastAsia="hr-HR"/>
        </w:rPr>
        <w:t xml:space="preserve">AUTOTRANS d.d. - rang u području djelatnosti, usporedba s područjem prema pokazateljima poslovanja i kretanje kreditnog rejtinga od 2014. do 2018. g. </w:t>
      </w:r>
    </w:p>
    <w:p w:rsidR="00290C05" w:rsidRDefault="00290C05" w:rsidP="00290C05">
      <w:pPr>
        <w:widowControl w:val="0"/>
        <w:spacing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1A3528FE" wp14:editId="61D40FE5">
            <wp:extent cx="1931158" cy="1314319"/>
            <wp:effectExtent l="0" t="0" r="0" b="63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0207" cy="131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2AC4CDDC" wp14:editId="0CEF19AB">
            <wp:extent cx="2461021" cy="1310185"/>
            <wp:effectExtent l="0" t="0" r="0" b="444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3335" cy="131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815">
        <w:rPr>
          <w:noProof/>
          <w:lang w:eastAsia="hr-HR"/>
        </w:rPr>
        <w:drawing>
          <wp:inline distT="0" distB="0" distL="0" distR="0" wp14:anchorId="7BEF41C3" wp14:editId="21DA708F">
            <wp:extent cx="1917510" cy="1310185"/>
            <wp:effectExtent l="0" t="0" r="6985" b="444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17510" cy="13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C05" w:rsidRPr="00A65C3A" w:rsidRDefault="00290C05" w:rsidP="00290C05">
      <w:pPr>
        <w:spacing w:after="40"/>
        <w:jc w:val="both"/>
        <w:rPr>
          <w:rFonts w:ascii="Arial" w:eastAsia="Times New Roman" w:hAnsi="Arial" w:cs="Times New Roman"/>
          <w:bCs/>
          <w:color w:val="17365D" w:themeColor="text2" w:themeShade="BF"/>
          <w:sz w:val="16"/>
          <w:szCs w:val="16"/>
          <w:lang w:eastAsia="hr-HR"/>
        </w:rPr>
      </w:pPr>
      <w:r w:rsidRPr="00A65C3A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9" w:history="1">
        <w:r w:rsidRPr="00A65C3A">
          <w:rPr>
            <w:rFonts w:ascii="Arial" w:eastAsia="Times New Roman" w:hAnsi="Arial" w:cs="Times New Roman"/>
            <w:i/>
            <w:color w:val="0000FF" w:themeColor="hyperlink"/>
            <w:sz w:val="16"/>
            <w:szCs w:val="16"/>
            <w:u w:val="single"/>
            <w:lang w:eastAsia="hr-HR"/>
          </w:rPr>
          <w:t>info.BIZ</w:t>
        </w:r>
      </w:hyperlink>
    </w:p>
    <w:p w:rsidR="00290C05" w:rsidRDefault="00290C05" w:rsidP="00290C05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2709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istom razredu djelatnosti najveći broj zaposlenih imalo je društvo </w:t>
      </w:r>
      <w:hyperlink r:id="rId20" w:history="1">
        <w:r w:rsidRPr="002709C6">
          <w:rPr>
            <w:rStyle w:val="Hiperveza"/>
            <w:rFonts w:ascii="Arial" w:eastAsia="Calibri" w:hAnsi="Arial" w:cs="Arial"/>
            <w:color w:val="17365D" w:themeColor="text2" w:themeShade="BF"/>
            <w:sz w:val="20"/>
            <w:szCs w:val="20"/>
          </w:rPr>
          <w:t>AUTOTRANS d.d.</w:t>
        </w:r>
      </w:hyperlink>
      <w:r w:rsidRPr="002709C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iz Cresa (672).</w:t>
      </w:r>
      <w:r w:rsidRPr="00C028D4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3A642F">
        <w:rPr>
          <w:rFonts w:ascii="Arial" w:eastAsia="Calibri" w:hAnsi="Arial" w:cs="Arial"/>
          <w:color w:val="17365D" w:themeColor="text2" w:themeShade="BF"/>
          <w:sz w:val="20"/>
          <w:szCs w:val="20"/>
        </w:rPr>
        <w:t>Isto je društvo ostvarilo i najveći ukupan prihod u iznosu od 260,2 milijuna kuna (udio od 5,7 % u ukupnim prihodima poduzetnika iz skupine djelatnosti 49.3)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:rsidR="00794043" w:rsidRDefault="00794043" w:rsidP="00794043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8B16E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djelatnosti gradskog i prigradskog kopnenog prijevoza putnika (NKD 49.31) iskazan je neto gubitak (tablica 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>3</w:t>
      </w:r>
      <w:r w:rsidRPr="008B16E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) i to u visini od gotovo 31,9 milijuna kuna. Najveći gubitak razdoblja u djelatnosti gradskog i prigradskog kopnenog prijevoz putnika (NKD 49.31), iskazalo je društvo </w:t>
      </w:r>
      <w:hyperlink r:id="rId21" w:history="1">
        <w:r w:rsidRPr="008B16EA">
          <w:rPr>
            <w:rStyle w:val="Hiperveza"/>
            <w:rFonts w:ascii="Arial" w:eastAsia="Calibri" w:hAnsi="Arial" w:cs="Arial"/>
            <w:color w:val="17365D" w:themeColor="text2" w:themeShade="BF"/>
            <w:sz w:val="20"/>
            <w:szCs w:val="20"/>
          </w:rPr>
          <w:t>Promet d.o.o.</w:t>
        </w:r>
      </w:hyperlink>
      <w:r w:rsidRPr="008B16E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iz Splita, u iznosu od 15,3 milijuna kuna. Isto je društvo 2017. godinu završilo s gotovo 9,8 milijuna kuna gubitka, a 2016. godinu s 11,2 milijuna kuna dobiti.</w:t>
      </w:r>
    </w:p>
    <w:p w:rsidR="00794043" w:rsidRPr="00824835" w:rsidRDefault="00794043" w:rsidP="00794043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8B16EA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taksi službe su prošlu godinu poslovali s gubitkom</w:t>
      </w:r>
      <w:r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(2,4 milijuna kuna)</w:t>
      </w:r>
      <w:r w:rsidRPr="008B16EA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Najveći gubitak u 2017. godini ostvarilo društvo </w:t>
      </w:r>
      <w:hyperlink r:id="rId22" w:history="1">
        <w:r w:rsidRPr="00FD5556">
          <w:rPr>
            <w:rStyle w:val="Hiperveza"/>
            <w:rFonts w:ascii="Arial" w:hAnsi="Arial" w:cs="Arial"/>
            <w:color w:val="17365D" w:themeColor="text2" w:themeShade="BF"/>
            <w:sz w:val="20"/>
            <w:szCs w:val="20"/>
          </w:rPr>
          <w:t>Pozivni centar zapad j.d.o.o. u likvidaciji</w:t>
        </w:r>
      </w:hyperlink>
      <w:r w:rsidRPr="00824835">
        <w:rPr>
          <w:rFonts w:ascii="Arial" w:hAnsi="Arial" w:cs="Arial"/>
          <w:color w:val="17365D" w:themeColor="text2" w:themeShade="BF"/>
          <w:sz w:val="20"/>
          <w:szCs w:val="20"/>
        </w:rPr>
        <w:t>. Vrijedi istaknuti da je u godinu dana broj poduzetnika u djelatnosti taksi službe s 435, koliko ih je bilo u 2017. godini, narastao na 838, koliko ih je bilo na kraju 2018. godine. Prvi poduzetnik po visini ukupnih prihoda u djelatnosti taksi službe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u 2018. godini</w:t>
      </w:r>
      <w:r w:rsidRPr="00824835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bio </w:t>
      </w:r>
      <w:r w:rsidRPr="00824835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hyperlink r:id="rId23" w:history="1">
        <w:r w:rsidR="00443A0A" w:rsidRPr="00443A0A">
          <w:rPr>
            <w:rStyle w:val="Hiperveza"/>
            <w:rFonts w:ascii="Arial" w:hAnsi="Arial" w:cs="Arial"/>
            <w:sz w:val="20"/>
            <w:szCs w:val="20"/>
          </w:rPr>
          <w:t>EKO PRIJEVOZ d.o.o.</w:t>
        </w:r>
      </w:hyperlink>
      <w:bookmarkStart w:id="0" w:name="_GoBack"/>
      <w:bookmarkEnd w:id="0"/>
      <w:r w:rsidR="00443A0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koji je ostvario ukupni prihod nešto veći od 13,4 milijuna kuna.</w:t>
      </w:r>
    </w:p>
    <w:p w:rsidR="00E97781" w:rsidRPr="005738E7" w:rsidRDefault="00E97781" w:rsidP="00E9254A">
      <w:pPr>
        <w:widowControl w:val="0"/>
        <w:tabs>
          <w:tab w:val="left" w:pos="6096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Tablica </w:t>
      </w:r>
      <w:r w:rsidR="00F74AD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3</w:t>
      </w:r>
      <w:r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5738E7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Broj poduzetnika, broj zaposlenih te osnovni financijski rezultati poslovanja poduzetnika u skupini djelatnosti NKD 49.3 i razredima djelatnosti NKD 49</w:t>
      </w:r>
      <w:r w:rsidR="009724F1"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.31, NKD 49.32, NKD 49.39 u </w:t>
      </w:r>
      <w:r w:rsidR="005738E7"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2018</w:t>
      </w:r>
      <w:r w:rsidR="0007629D"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</w:t>
      </w:r>
      <w:r w:rsidRPr="005738E7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godini</w:t>
      </w:r>
    </w:p>
    <w:p w:rsidR="00E97781" w:rsidRPr="005738E7" w:rsidRDefault="00E97781" w:rsidP="00E97781">
      <w:pPr>
        <w:tabs>
          <w:tab w:val="left" w:pos="6096"/>
        </w:tabs>
        <w:spacing w:after="0" w:line="240" w:lineRule="auto"/>
        <w:ind w:left="1134" w:hanging="1134"/>
        <w:jc w:val="right"/>
        <w:rPr>
          <w:rFonts w:ascii="Arial" w:eastAsia="Calibri" w:hAnsi="Arial" w:cs="Arial"/>
          <w:color w:val="17365D" w:themeColor="text2" w:themeShade="BF"/>
          <w:sz w:val="18"/>
          <w:szCs w:val="16"/>
        </w:rPr>
      </w:pPr>
      <w:r w:rsidRPr="00D24D79">
        <w:rPr>
          <w:rFonts w:ascii="Arial" w:eastAsia="Calibri" w:hAnsi="Arial" w:cs="Arial"/>
          <w:color w:val="FF0000"/>
          <w:sz w:val="19"/>
          <w:szCs w:val="19"/>
        </w:rPr>
        <w:tab/>
      </w:r>
      <w:r w:rsidRPr="005738E7">
        <w:rPr>
          <w:rFonts w:ascii="Arial" w:eastAsia="Calibri" w:hAnsi="Arial" w:cs="Arial"/>
          <w:color w:val="17365D" w:themeColor="text2" w:themeShade="BF"/>
          <w:sz w:val="16"/>
          <w:szCs w:val="16"/>
        </w:rPr>
        <w:t>(iznosi u tisućama kuna, prosječne plaće u kunama)</w:t>
      </w:r>
    </w:p>
    <w:tbl>
      <w:tblPr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1020"/>
        <w:gridCol w:w="1021"/>
        <w:gridCol w:w="907"/>
        <w:gridCol w:w="1021"/>
        <w:gridCol w:w="850"/>
        <w:gridCol w:w="907"/>
        <w:gridCol w:w="1020"/>
        <w:gridCol w:w="1021"/>
      </w:tblGrid>
      <w:tr w:rsidR="00F74AD9" w:rsidRPr="00961B6D" w:rsidTr="00794043">
        <w:trPr>
          <w:trHeight w:val="624"/>
          <w:tblHeader/>
          <w:jc w:val="center"/>
        </w:trPr>
        <w:tc>
          <w:tcPr>
            <w:tcW w:w="221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 Ostali kopneni prijevoz putnika</w:t>
            </w:r>
          </w:p>
        </w:tc>
        <w:tc>
          <w:tcPr>
            <w:tcW w:w="192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7940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49.31 Gradski i prigradski kopneni prijevoz putnika</w:t>
            </w: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49.32 Taksi služba</w:t>
            </w:r>
          </w:p>
        </w:tc>
        <w:tc>
          <w:tcPr>
            <w:tcW w:w="204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49.39 Ostali kopneni prijevoz putnika, d. n.</w:t>
            </w:r>
          </w:p>
        </w:tc>
      </w:tr>
      <w:tr w:rsidR="00F74AD9" w:rsidRPr="00961B6D" w:rsidTr="00794043">
        <w:trPr>
          <w:trHeight w:val="255"/>
          <w:tblHeader/>
          <w:jc w:val="center"/>
        </w:trPr>
        <w:tc>
          <w:tcPr>
            <w:tcW w:w="2211" w:type="dxa"/>
            <w:vMerge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2017.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2018.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2017.</w:t>
            </w:r>
            <w:r w:rsidR="00794043">
              <w:rPr>
                <w:rStyle w:val="Referencafusnote"/>
                <w:rFonts w:ascii="Arial" w:eastAsia="Times New Roman" w:hAnsi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footnoteReference w:id="3"/>
            </w: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2018.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2017.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2018.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2017.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:rsidR="00F74AD9" w:rsidRPr="00961B6D" w:rsidRDefault="00F74AD9" w:rsidP="00F74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2018.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1.458 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59 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838 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561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dobitaša</w:t>
            </w:r>
            <w:proofErr w:type="spellEnd"/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525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984 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31 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35 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200 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584 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294 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365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gubitaša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413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474 </w:t>
            </w:r>
          </w:p>
        </w:tc>
        <w:tc>
          <w:tcPr>
            <w:tcW w:w="90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20 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232 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254 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161 </w:t>
            </w:r>
          </w:p>
        </w:tc>
        <w:tc>
          <w:tcPr>
            <w:tcW w:w="10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196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9.261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13.783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2.249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6.056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807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1.404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6.205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6.323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3.046.372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4.538.455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613.386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1.760.441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83.498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208.218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2.349.488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2.569.796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3.019.402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4.507.414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624.508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1.791.870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85.527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206.191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2.309.368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2.509.353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prije oporezivanja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89.616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98.129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6.210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3.383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4.481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10.472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78.924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84.274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prije oporezivanja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62.646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67.088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17.332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34.812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6.511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8.444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38.803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23.831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Porez na dobit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14.753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17.057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1.232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358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1.236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13.163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15.353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74.908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81.046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4.979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2.873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4.123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9.236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65.806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68.938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62.691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67.062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17.332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34.769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6.511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8.444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38.848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23.848 </w:t>
            </w:r>
          </w:p>
        </w:tc>
      </w:tr>
      <w:tr w:rsidR="00961B6D" w:rsidRPr="00961B6D" w:rsidTr="00794043">
        <w:trPr>
          <w:trHeight w:val="397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proofErr w:type="spellStart"/>
            <w:r w:rsidRPr="00961B6D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Konsolidir</w:t>
            </w:r>
            <w:proofErr w:type="spellEnd"/>
            <w:r w:rsidR="00F74AD9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.</w:t>
            </w:r>
            <w:r w:rsidRPr="00961B6D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61B6D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finan</w:t>
            </w:r>
            <w:proofErr w:type="spellEnd"/>
            <w:r w:rsidRPr="00961B6D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 xml:space="preserve">. rezultat – dobit (+) ili gubitak (-) </w:t>
            </w:r>
            <w:proofErr w:type="spellStart"/>
            <w:r w:rsidRPr="00961B6D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razd</w:t>
            </w:r>
            <w:proofErr w:type="spellEnd"/>
            <w:r w:rsidRPr="00961B6D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16365C"/>
                <w:sz w:val="18"/>
                <w:szCs w:val="18"/>
              </w:rPr>
              <w:t xml:space="preserve">12.217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16365C"/>
                <w:sz w:val="18"/>
                <w:szCs w:val="18"/>
              </w:rPr>
              <w:t xml:space="preserve">13.984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-12.353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-31.896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-2.387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16365C"/>
                <w:sz w:val="18"/>
                <w:szCs w:val="18"/>
              </w:rPr>
              <w:t xml:space="preserve">791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16365C"/>
                <w:sz w:val="18"/>
                <w:szCs w:val="18"/>
              </w:rPr>
              <w:t xml:space="preserve">26.957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b/>
                <w:color w:val="16365C"/>
                <w:sz w:val="18"/>
                <w:szCs w:val="18"/>
              </w:rPr>
              <w:t xml:space="preserve">45.089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334.656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387.803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25.278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25.298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531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1.141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308.847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361.363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68.092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95.399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14.142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17.633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558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3.031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53.391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74.735 </w:t>
            </w:r>
          </w:p>
        </w:tc>
      </w:tr>
      <w:tr w:rsidR="00961B6D" w:rsidRPr="00961B6D" w:rsidTr="00794043">
        <w:trPr>
          <w:trHeight w:val="283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Trgovinski saldo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266.564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292.404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11.136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7.665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FF0000"/>
                <w:sz w:val="18"/>
                <w:szCs w:val="18"/>
              </w:rPr>
              <w:t xml:space="preserve">-28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FF0000"/>
                <w:sz w:val="18"/>
                <w:szCs w:val="18"/>
              </w:rPr>
              <w:t xml:space="preserve">-1.889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255.456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286.628 </w:t>
            </w:r>
          </w:p>
        </w:tc>
      </w:tr>
      <w:tr w:rsidR="00961B6D" w:rsidRPr="00961B6D" w:rsidTr="00794043">
        <w:trPr>
          <w:trHeight w:val="397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Investicije u novu dugotrajnu imovinu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97.833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215.592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20.113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117.573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1.615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1.837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76.105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96.182 </w:t>
            </w:r>
          </w:p>
        </w:tc>
      </w:tr>
      <w:tr w:rsidR="00961B6D" w:rsidRPr="00961B6D" w:rsidTr="00794043">
        <w:trPr>
          <w:trHeight w:val="397"/>
          <w:jc w:val="center"/>
        </w:trPr>
        <w:tc>
          <w:tcPr>
            <w:tcW w:w="2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961B6D" w:rsidRPr="00961B6D" w:rsidRDefault="00961B6D" w:rsidP="00F74AD9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961B6D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Prosječna mjesečna neto plaća po zaposlenom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4.601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5.364 </w:t>
            </w:r>
          </w:p>
        </w:tc>
        <w:tc>
          <w:tcPr>
            <w:tcW w:w="90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6.092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7.008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2.177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2.209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4.376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961B6D" w:rsidRPr="00794043" w:rsidRDefault="00961B6D" w:rsidP="00F74AD9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794043">
              <w:rPr>
                <w:rFonts w:ascii="Arial" w:hAnsi="Arial" w:cs="Arial"/>
                <w:color w:val="16365C"/>
                <w:sz w:val="18"/>
                <w:szCs w:val="18"/>
              </w:rPr>
              <w:t xml:space="preserve">4.491 </w:t>
            </w:r>
          </w:p>
        </w:tc>
      </w:tr>
    </w:tbl>
    <w:p w:rsidR="00E97781" w:rsidRPr="00D24D79" w:rsidRDefault="00E97781" w:rsidP="00E97781">
      <w:pPr>
        <w:tabs>
          <w:tab w:val="left" w:pos="601"/>
        </w:tabs>
        <w:spacing w:after="0" w:line="288" w:lineRule="auto"/>
        <w:jc w:val="both"/>
        <w:rPr>
          <w:rFonts w:ascii="Arial" w:eastAsia="Times New Roman" w:hAnsi="Arial" w:cs="Arial"/>
          <w:i/>
          <w:color w:val="FF0000"/>
          <w:sz w:val="2"/>
          <w:szCs w:val="16"/>
          <w:lang w:eastAsia="hr-HR"/>
        </w:rPr>
      </w:pPr>
    </w:p>
    <w:p w:rsidR="00E97781" w:rsidRPr="005738E7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9724F1"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izvještaja, obrada GFI-a za </w:t>
      </w:r>
      <w:r w:rsidR="005738E7"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2018</w:t>
      </w:r>
      <w:r w:rsidR="0007629D"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</w:t>
      </w:r>
      <w:r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</w:t>
      </w:r>
      <w:r w:rsidR="00EA0254"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g</w:t>
      </w:r>
      <w:r w:rsidRPr="005738E7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odinu</w:t>
      </w:r>
    </w:p>
    <w:p w:rsidR="00EA0254" w:rsidRPr="00F44DD1" w:rsidRDefault="0001365A" w:rsidP="00C84E5B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Najveća prosječna mjesečna neto plaća obračunana je zaposlenima kod p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oduzetni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ka u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djelatnost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i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gradsk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prigradsk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 (NKD 49.31), u iznosu od </w:t>
      </w:r>
      <w:r w:rsidR="00F44DD1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7.008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kuna, 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dok je </w:t>
      </w:r>
      <w:r w:rsidR="00DC5CFA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zaposleni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ma</w:t>
      </w:r>
      <w:r w:rsidR="00DC5CFA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kod poduzetnika 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u skupini djelatnosti ostalog kopnenog prijevoza putnika (NKD 49.3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9</w:t>
      </w:r>
      <w:r w:rsidR="007841EF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obračunana plaća u iznosu od 4.4</w:t>
      </w:r>
      <w:r w:rsidR="00F44DD1"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91 kunu</w:t>
      </w:r>
      <w:r w:rsidRPr="00F44DD1">
        <w:rPr>
          <w:rFonts w:ascii="Arial" w:eastAsia="Calibri" w:hAnsi="Arial" w:cs="Arial"/>
          <w:color w:val="17365D" w:themeColor="text2" w:themeShade="BF"/>
          <w:sz w:val="20"/>
          <w:szCs w:val="20"/>
        </w:rPr>
        <w:t>, a zaposlenima kod p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oduzetnika </w:t>
      </w:r>
      <w:r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</w:t>
      </w:r>
      <w:r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taksi služb</w:t>
      </w:r>
      <w:r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e (NKD 49.32) 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obračunana prosječna mjesečna neto plaća u iznosu od </w:t>
      </w:r>
      <w:r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samo 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2.</w:t>
      </w:r>
      <w:r w:rsidR="00F44DD1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209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B30C9F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EA0254" w:rsidRPr="00F44DD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E97781" w:rsidRPr="00D24D79" w:rsidRDefault="00E97781" w:rsidP="00E9778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FF0000"/>
          <w:sz w:val="2"/>
          <w:szCs w:val="16"/>
          <w:lang w:eastAsia="hr-HR"/>
        </w:rPr>
      </w:pPr>
    </w:p>
    <w:p w:rsidR="00E72ACF" w:rsidRPr="00290C05" w:rsidRDefault="00E72ACF" w:rsidP="00794043">
      <w:pPr>
        <w:spacing w:after="0" w:line="240" w:lineRule="auto"/>
        <w:jc w:val="both"/>
        <w:rPr>
          <w:rFonts w:ascii="Arial" w:eastAsia="Times New Roman" w:hAnsi="Arial" w:cs="Times New Roman"/>
          <w:color w:val="17365D" w:themeColor="text2" w:themeShade="BF"/>
          <w:sz w:val="16"/>
          <w:szCs w:val="16"/>
          <w:lang w:eastAsia="hr-HR"/>
        </w:rPr>
      </w:pPr>
    </w:p>
    <w:tbl>
      <w:tblPr>
        <w:tblW w:w="9923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628"/>
        <w:gridCol w:w="2295"/>
      </w:tblGrid>
      <w:tr w:rsidR="00E72ACF" w:rsidRPr="00947C9B" w:rsidTr="005F14FA">
        <w:trPr>
          <w:trHeight w:val="1998"/>
          <w:jc w:val="center"/>
        </w:trPr>
        <w:tc>
          <w:tcPr>
            <w:tcW w:w="7628" w:type="dxa"/>
            <w:shd w:val="clear" w:color="auto" w:fill="auto"/>
            <w:vAlign w:val="center"/>
          </w:tcPr>
          <w:p w:rsidR="00E72ACF" w:rsidRPr="00216409" w:rsidRDefault="00EC60D8" w:rsidP="005F14FA">
            <w:pPr>
              <w:widowControl w:val="0"/>
              <w:tabs>
                <w:tab w:val="left" w:pos="343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hyperlink r:id="rId24" w:history="1">
              <w:r w:rsidR="00E72ACF" w:rsidRPr="00216409">
                <w:rPr>
                  <w:rFonts w:ascii="Arial" w:eastAsia="Times New Roman" w:hAnsi="Arial"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E72ACF" w:rsidRPr="00216409">
              <w:rPr>
                <w:rFonts w:ascii="Arial" w:eastAsia="Times New Roman" w:hAnsi="Arial" w:cs="Arial"/>
                <w:i/>
                <w:color w:val="0000FF"/>
                <w:sz w:val="17"/>
                <w:szCs w:val="17"/>
                <w:u w:val="single"/>
                <w:shd w:val="clear" w:color="auto" w:fill="FFFFFF"/>
                <w:lang w:eastAsia="hr-HR"/>
              </w:rPr>
              <w:t xml:space="preserve"> </w:t>
            </w:r>
            <w:r w:rsidR="00E72ACF"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</w:t>
            </w:r>
          </w:p>
          <w:p w:rsidR="00E72ACF" w:rsidRPr="00216409" w:rsidRDefault="00E72ACF" w:rsidP="005F14FA">
            <w:pPr>
              <w:widowControl w:val="0"/>
              <w:tabs>
                <w:tab w:val="left" w:pos="34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r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Najveća je i najažurnija baza poslovnih informacija za više od </w:t>
            </w:r>
            <w:r w:rsidRPr="00517735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795.000 poslovnih subjekata</w:t>
            </w:r>
            <w:r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 xml:space="preserve"> </w:t>
            </w:r>
            <w:r w:rsidRPr="00517735">
              <w:rPr>
                <w:rFonts w:ascii="Arial" w:eastAsia="Times New Roman" w:hAnsi="Arial" w:cs="Arial"/>
                <w:b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iz više od 30 izvora</w:t>
            </w:r>
            <w:r w:rsidRPr="00216409">
              <w:rPr>
                <w:rFonts w:ascii="Arial" w:eastAsia="Times New Roman" w:hAnsi="Arial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. Omogućuje brže, jednostavnije i sigurnije donošenje poslovnih odluka, sustavno praćenje klijenata, olakšava izradu poslovnih analiza te praćenje trendova i prepoznavanje potencijala na tržištu.</w:t>
            </w:r>
          </w:p>
          <w:p w:rsidR="00E72ACF" w:rsidRPr="00B34293" w:rsidRDefault="00E72ACF" w:rsidP="005F14FA">
            <w:pPr>
              <w:widowControl w:val="0"/>
              <w:tabs>
                <w:tab w:val="left" w:pos="343"/>
              </w:tabs>
              <w:spacing w:before="60" w:after="0" w:line="240" w:lineRule="auto"/>
              <w:jc w:val="both"/>
              <w:rPr>
                <w:rFonts w:ascii="Arial" w:eastAsia="Calibri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216409">
              <w:rPr>
                <w:rFonts w:ascii="Arial" w:eastAsia="Calibri" w:hAnsi="Arial" w:cs="Arial"/>
                <w:i/>
                <w:color w:val="244061"/>
                <w:sz w:val="17"/>
                <w:szCs w:val="17"/>
                <w:shd w:val="clear" w:color="auto" w:fill="F5F6F8"/>
              </w:rPr>
              <w:t xml:space="preserve">Ako ste zainteresirani i želite ugovoriti uslugu ili kupiti veći broj paketa: </w:t>
            </w:r>
            <w:hyperlink r:id="rId25" w:history="1">
              <w:r w:rsidRPr="00216409">
                <w:rPr>
                  <w:rFonts w:ascii="Arial" w:eastAsia="Calibri" w:hAnsi="Arial" w:cs="Arial"/>
                  <w:i/>
                  <w:color w:val="0000FF"/>
                  <w:sz w:val="17"/>
                  <w:szCs w:val="17"/>
                  <w:u w:val="single"/>
                </w:rPr>
                <w:t>prodaja@fina.hr</w:t>
              </w:r>
            </w:hyperlink>
            <w:r w:rsidRPr="00216409">
              <w:rPr>
                <w:rFonts w:ascii="Arial" w:eastAsia="Calibri" w:hAnsi="Arial" w:cs="Arial"/>
                <w:i/>
                <w:color w:val="007AFF"/>
                <w:sz w:val="17"/>
                <w:szCs w:val="17"/>
              </w:rPr>
              <w:t xml:space="preserve"> </w:t>
            </w:r>
            <w:r w:rsidRPr="00216409">
              <w:rPr>
                <w:rFonts w:ascii="Arial" w:eastAsia="Calibri" w:hAnsi="Arial" w:cs="Arial"/>
                <w:i/>
                <w:color w:val="244061"/>
                <w:sz w:val="17"/>
                <w:szCs w:val="17"/>
                <w:shd w:val="clear" w:color="auto" w:fill="F5F6F8"/>
              </w:rPr>
              <w:t>Ako trebate korisničku podršku: 0800 0080</w:t>
            </w:r>
            <w:r w:rsidRPr="00216409">
              <w:rPr>
                <w:rFonts w:ascii="Arial" w:eastAsia="Calibri" w:hAnsi="Arial" w:cs="Arial"/>
                <w:i/>
                <w:color w:val="33343A"/>
                <w:sz w:val="17"/>
                <w:szCs w:val="17"/>
                <w:shd w:val="clear" w:color="auto" w:fill="F5F6F8"/>
              </w:rPr>
              <w:t>,</w:t>
            </w:r>
            <w:r>
              <w:rPr>
                <w:rFonts w:ascii="Arial" w:eastAsia="Calibri" w:hAnsi="Arial" w:cs="Arial"/>
                <w:i/>
                <w:color w:val="33343A"/>
                <w:sz w:val="17"/>
                <w:szCs w:val="17"/>
                <w:shd w:val="clear" w:color="auto" w:fill="F5F6F8"/>
              </w:rPr>
              <w:t xml:space="preserve"> </w:t>
            </w:r>
            <w:hyperlink r:id="rId26" w:history="1">
              <w:r w:rsidRPr="00216409">
                <w:rPr>
                  <w:rFonts w:ascii="Arial" w:eastAsia="Calibri" w:hAnsi="Arial" w:cs="Arial"/>
                  <w:i/>
                  <w:color w:val="007AFF"/>
                  <w:sz w:val="17"/>
                  <w:szCs w:val="17"/>
                  <w:u w:val="single"/>
                </w:rPr>
                <w:t>info@fina.h</w:t>
              </w:r>
            </w:hyperlink>
            <w:r w:rsidRPr="00216409">
              <w:rPr>
                <w:rFonts w:ascii="Arial" w:eastAsia="Calibri" w:hAnsi="Arial" w:cs="Arial"/>
                <w:i/>
                <w:color w:val="007AFF"/>
                <w:sz w:val="17"/>
                <w:szCs w:val="17"/>
                <w:u w:val="single"/>
              </w:rPr>
              <w:t>r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E72ACF" w:rsidRPr="00947C9B" w:rsidRDefault="00E72ACF" w:rsidP="005F14FA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8"/>
                <w:szCs w:val="18"/>
              </w:rPr>
            </w:pPr>
            <w:r>
              <w:rPr>
                <w:rFonts w:ascii="Calibri" w:eastAsia="Calibri" w:hAnsi="Calibri" w:cs="Arial"/>
                <w:bCs/>
                <w:noProof/>
                <w:color w:val="17365D"/>
                <w:sz w:val="18"/>
                <w:szCs w:val="18"/>
                <w:lang w:eastAsia="hr-HR"/>
              </w:rPr>
              <w:drawing>
                <wp:inline distT="0" distB="0" distL="0" distR="0" wp14:anchorId="19E8CF69" wp14:editId="1369A03A">
                  <wp:extent cx="1276350" cy="12668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ACF" w:rsidRPr="00216409" w:rsidRDefault="00E72ACF" w:rsidP="00E72ACF">
      <w:pPr>
        <w:pBdr>
          <w:top w:val="single" w:sz="12" w:space="7" w:color="auto"/>
        </w:pBdr>
        <w:spacing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Više o rezultatima poslovanja poduzetnika po područjima djelatnosti i po drugim kriterijima, prezentirano je u </w:t>
      </w:r>
      <w:hyperlink r:id="rId28" w:history="1">
        <w:r w:rsidRPr="00216409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standardnim analizama</w:t>
        </w:r>
      </w:hyperlink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rezultata poslovanja poduzetnika RH, po županijama i po gradovima i općinama u 201</w:t>
      </w:r>
      <w:r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8</w:t>
      </w:r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. godini. Kontakt adresa </w:t>
      </w:r>
      <w:hyperlink r:id="rId29" w:history="1">
        <w:r w:rsidRPr="00216409">
          <w:rPr>
            <w:rFonts w:ascii="Arial" w:eastAsia="Times New Roman" w:hAnsi="Arial" w:cs="Arial"/>
            <w:i/>
            <w:color w:val="0000FF"/>
            <w:sz w:val="17"/>
            <w:szCs w:val="17"/>
            <w:u w:val="single"/>
            <w:lang w:eastAsia="hr-HR"/>
          </w:rPr>
          <w:t>analize@fina.hr</w:t>
        </w:r>
      </w:hyperlink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 xml:space="preserve"> </w:t>
      </w:r>
    </w:p>
    <w:p w:rsidR="00E72ACF" w:rsidRPr="00216409" w:rsidRDefault="00E72ACF" w:rsidP="00794043">
      <w:pPr>
        <w:pBdr>
          <w:top w:val="single" w:sz="12" w:space="7" w:color="auto"/>
        </w:pBdr>
        <w:spacing w:before="60" w:after="0" w:line="240" w:lineRule="auto"/>
        <w:jc w:val="both"/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</w:pPr>
      <w:r w:rsidRPr="00216409"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  <w:t>Pojedinačni podaci o rezultatima poslovanja poduzetnika dostupni su besplatno na</w:t>
      </w:r>
      <w:r w:rsidRPr="00216409">
        <w:rPr>
          <w:rFonts w:ascii="Arial" w:hAnsi="Arial" w:cs="Arial"/>
          <w:i/>
          <w:color w:val="17365D"/>
          <w:sz w:val="17"/>
          <w:szCs w:val="17"/>
          <w:lang w:eastAsia="hr-HR"/>
        </w:rPr>
        <w:t xml:space="preserve"> </w:t>
      </w:r>
      <w:hyperlink r:id="rId30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RGFI – javna objava</w:t>
        </w:r>
      </w:hyperlink>
      <w:r w:rsidRPr="00216409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r w:rsidRPr="00216409">
        <w:rPr>
          <w:rFonts w:ascii="Arial" w:eastAsia="Times New Roman" w:hAnsi="Arial" w:cs="Arial"/>
          <w:i/>
          <w:color w:val="17375E"/>
          <w:sz w:val="17"/>
          <w:szCs w:val="17"/>
          <w:lang w:eastAsia="hr-HR"/>
        </w:rPr>
        <w:t>i na</w:t>
      </w:r>
      <w:r w:rsidRPr="00216409">
        <w:rPr>
          <w:rFonts w:ascii="Arial" w:hAnsi="Arial" w:cs="Arial"/>
          <w:i/>
          <w:color w:val="0F243E"/>
          <w:sz w:val="17"/>
          <w:szCs w:val="17"/>
          <w:lang w:eastAsia="hr-HR"/>
        </w:rPr>
        <w:t xml:space="preserve"> </w:t>
      </w:r>
      <w:hyperlink r:id="rId31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Transparentno.hr</w:t>
        </w:r>
      </w:hyperlink>
      <w:r w:rsidRPr="00216409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>,</w:t>
      </w:r>
      <w:r w:rsidRPr="00216409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216409">
        <w:rPr>
          <w:rFonts w:ascii="Arial" w:hAnsi="Arial" w:cs="Arial"/>
          <w:i/>
          <w:color w:val="244061"/>
          <w:sz w:val="17"/>
          <w:szCs w:val="17"/>
          <w:lang w:eastAsia="hr-HR"/>
        </w:rPr>
        <w:t xml:space="preserve">a agregirani i pojedinačni podaci dostupni su uz naknadu na servisu </w:t>
      </w:r>
      <w:hyperlink r:id="rId32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info.BIZ</w:t>
        </w:r>
      </w:hyperlink>
      <w:r w:rsidRPr="00216409">
        <w:rPr>
          <w:rFonts w:ascii="Arial" w:hAnsi="Arial" w:cs="Arial"/>
          <w:i/>
          <w:color w:val="0000FF"/>
          <w:sz w:val="17"/>
          <w:szCs w:val="17"/>
          <w:lang w:eastAsia="hr-HR"/>
        </w:rPr>
        <w:t xml:space="preserve"> </w:t>
      </w:r>
      <w:r w:rsidRPr="00216409">
        <w:rPr>
          <w:rFonts w:ascii="Arial" w:hAnsi="Arial" w:cs="Arial"/>
          <w:i/>
          <w:color w:val="244061"/>
          <w:sz w:val="17"/>
          <w:szCs w:val="17"/>
          <w:lang w:eastAsia="hr-HR"/>
        </w:rPr>
        <w:t>Kontakt adresa</w:t>
      </w:r>
      <w:r w:rsidRPr="00216409">
        <w:rPr>
          <w:rFonts w:ascii="Arial" w:hAnsi="Arial" w:cs="Arial"/>
          <w:i/>
          <w:color w:val="0000FF"/>
          <w:sz w:val="17"/>
          <w:szCs w:val="17"/>
          <w:u w:val="single"/>
          <w:lang w:eastAsia="hr-HR"/>
        </w:rPr>
        <w:t xml:space="preserve"> </w:t>
      </w:r>
      <w:hyperlink r:id="rId33" w:history="1">
        <w:r w:rsidRPr="00216409">
          <w:rPr>
            <w:rFonts w:ascii="Arial" w:hAnsi="Arial" w:cs="Arial"/>
            <w:i/>
            <w:color w:val="0000FF"/>
            <w:sz w:val="17"/>
            <w:szCs w:val="17"/>
            <w:u w:val="single"/>
            <w:lang w:eastAsia="hr-HR"/>
          </w:rPr>
          <w:t>info@fina.hr</w:t>
        </w:r>
      </w:hyperlink>
    </w:p>
    <w:p w:rsidR="0037582F" w:rsidRPr="00216409" w:rsidRDefault="00E72ACF" w:rsidP="00794043">
      <w:pPr>
        <w:pBdr>
          <w:top w:val="single" w:sz="12" w:space="7" w:color="auto"/>
        </w:pBdr>
        <w:spacing w:before="60" w:after="0" w:line="240" w:lineRule="auto"/>
        <w:jc w:val="both"/>
        <w:rPr>
          <w:rFonts w:ascii="Arial" w:hAnsi="Arial" w:cs="Arial"/>
          <w:i/>
          <w:color w:val="244061"/>
          <w:sz w:val="17"/>
          <w:szCs w:val="17"/>
          <w:lang w:eastAsia="hr-HR"/>
        </w:rPr>
      </w:pPr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Informacija o tome je li poslovni subjekt u blokadi ili ne, dostupna je korištenjem usluge </w:t>
      </w:r>
      <w:hyperlink r:id="rId34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FINA InfoBlokade</w:t>
        </w:r>
      </w:hyperlink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slanjem SMS poruke na broj 818058, te korištenjem </w:t>
      </w:r>
      <w:hyperlink r:id="rId35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WEB aplikacije JRR</w:t>
        </w:r>
      </w:hyperlink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tj. uvidom u podatke o računima i statusu blokade poslovnih subjekata, koji se ažuriraju u </w:t>
      </w:r>
      <w:hyperlink r:id="rId36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Jedinstvenom registru računa</w:t>
        </w:r>
      </w:hyperlink>
      <w:r w:rsidRPr="00216409">
        <w:rPr>
          <w:rFonts w:ascii="Arial" w:eastAsia="Calibri" w:hAnsi="Arial" w:cs="Arial"/>
          <w:bCs/>
          <w:i/>
          <w:color w:val="17365D"/>
          <w:sz w:val="17"/>
          <w:szCs w:val="17"/>
        </w:rPr>
        <w:t xml:space="preserve"> kojega u skladu sa zakonskim propisima, od 2002. godine, vodi Financijska agencija. Kontakt adresa </w:t>
      </w:r>
      <w:hyperlink r:id="rId37" w:history="1">
        <w:r w:rsidRPr="00216409">
          <w:rPr>
            <w:rFonts w:ascii="Arial" w:eastAsia="Calibri" w:hAnsi="Arial" w:cs="Arial"/>
            <w:bCs/>
            <w:i/>
            <w:color w:val="0000FF"/>
            <w:sz w:val="17"/>
            <w:szCs w:val="17"/>
            <w:u w:val="single"/>
          </w:rPr>
          <w:t>jrr@fina.hr</w:t>
        </w:r>
      </w:hyperlink>
    </w:p>
    <w:sectPr w:rsidR="0037582F" w:rsidRPr="00216409" w:rsidSect="007841EF">
      <w:headerReference w:type="default" r:id="rId38"/>
      <w:type w:val="continuous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D8" w:rsidRDefault="00EC60D8" w:rsidP="00E97781">
      <w:pPr>
        <w:spacing w:after="0" w:line="240" w:lineRule="auto"/>
      </w:pPr>
      <w:r>
        <w:separator/>
      </w:r>
    </w:p>
  </w:endnote>
  <w:endnote w:type="continuationSeparator" w:id="0">
    <w:p w:rsidR="00EC60D8" w:rsidRDefault="00EC60D8" w:rsidP="00E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D8" w:rsidRDefault="00EC60D8" w:rsidP="00E97781">
      <w:pPr>
        <w:spacing w:after="0" w:line="240" w:lineRule="auto"/>
      </w:pPr>
      <w:r>
        <w:separator/>
      </w:r>
    </w:p>
  </w:footnote>
  <w:footnote w:type="continuationSeparator" w:id="0">
    <w:p w:rsidR="00EC60D8" w:rsidRDefault="00EC60D8" w:rsidP="00E97781">
      <w:pPr>
        <w:spacing w:after="0" w:line="240" w:lineRule="auto"/>
      </w:pPr>
      <w:r>
        <w:continuationSeparator/>
      </w:r>
    </w:p>
  </w:footnote>
  <w:footnote w:id="1">
    <w:p w:rsidR="005F14FA" w:rsidRPr="00DC5CFA" w:rsidRDefault="005F14FA" w:rsidP="003A7998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C5CFA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Ovaj razred djelatnosti uključuje kopneni prijevoz putnika gradskim i prigradskim prijevoznim sustavima kao što su autobusi, tramvaji, ulična vozila, trolejbusi, podzemna željeznica, nadzemna željeznica itd. Djelatnost prometa obično se realizira na redovitim linijama koje poštuju vozni red te preuzimaju i prevoze putnike na utvrđenim postajama.</w:t>
      </w:r>
    </w:p>
  </w:footnote>
  <w:footnote w:id="2">
    <w:p w:rsidR="005F14FA" w:rsidRPr="00DC5CFA" w:rsidRDefault="005F14FA" w:rsidP="00DC5CFA">
      <w:pPr>
        <w:pStyle w:val="Tekstfusnote"/>
        <w:spacing w:before="4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DC5CFA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DC5CFA">
        <w:rPr>
          <w:rFonts w:ascii="Arial" w:hAnsi="Arial" w:cs="Arial"/>
          <w:color w:val="244061" w:themeColor="accent1" w:themeShade="80"/>
          <w:sz w:val="16"/>
          <w:szCs w:val="16"/>
        </w:rPr>
        <w:t xml:space="preserve"> Ostali kopneni prijevoz putnika uključuje redoviti autobusni prijevoz, dugolinijski, čarterske vožnje, izlete i druge povremene prijevozne usluge, prijevozna sredstva unutar aerodroma, prijevoz školskim autobusima i autobusima za prijevoz radnika na posao i sl.</w:t>
      </w:r>
    </w:p>
  </w:footnote>
  <w:footnote w:id="3">
    <w:p w:rsidR="00794043" w:rsidRPr="00F506C5" w:rsidRDefault="00794043" w:rsidP="00F506C5">
      <w:pPr>
        <w:pStyle w:val="Tekstfusnote"/>
        <w:rPr>
          <w:rFonts w:ascii="Arial" w:hAnsi="Arial" w:cs="Arial"/>
          <w:sz w:val="16"/>
          <w:szCs w:val="16"/>
        </w:rPr>
      </w:pPr>
      <w:r w:rsidRPr="00F506C5">
        <w:rPr>
          <w:rStyle w:val="Referencafusnote"/>
          <w:rFonts w:ascii="Arial" w:hAnsi="Arial" w:cs="Arial"/>
          <w:sz w:val="16"/>
          <w:szCs w:val="16"/>
        </w:rPr>
        <w:footnoteRef/>
      </w:r>
      <w:r w:rsidR="00CF57BF" w:rsidRPr="00F506C5">
        <w:rPr>
          <w:rFonts w:ascii="Arial" w:hAnsi="Arial" w:cs="Arial"/>
          <w:sz w:val="16"/>
          <w:szCs w:val="16"/>
        </w:rPr>
        <w:t xml:space="preserve"> 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U </w:t>
      </w:r>
      <w:r w:rsidR="00F506C5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2017. godini društvo 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>ZAGREBAČK</w:t>
      </w:r>
      <w:r w:rsid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I 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>ELEKTRIČN</w:t>
      </w:r>
      <w:r w:rsidR="00F506C5">
        <w:rPr>
          <w:rFonts w:ascii="Arial" w:hAnsi="Arial" w:cs="Arial"/>
          <w:color w:val="244061" w:themeColor="accent1" w:themeShade="80"/>
          <w:sz w:val="16"/>
          <w:szCs w:val="16"/>
        </w:rPr>
        <w:t>I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 TRAMVAJ (ZET),</w:t>
      </w:r>
      <w:r w:rsidR="00F506C5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 nije samostalno poslovalo jer je 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temeljem Ugovora o pripajanju od 9.6.2006. </w:t>
      </w:r>
      <w:r w:rsidR="00F506C5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bilo 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pripojeno društvu GRADSKO KOMUNALNO GOSPODARSTVO d.o.o. kojem su pripojena i druga društva koja danas posluju u sastavu ZAGREBAČKOG HOLDINGA d.o.o. </w:t>
      </w:r>
      <w:r w:rsidR="00F506C5">
        <w:rPr>
          <w:rFonts w:ascii="Arial" w:hAnsi="Arial" w:cs="Arial"/>
          <w:color w:val="244061" w:themeColor="accent1" w:themeShade="80"/>
          <w:sz w:val="16"/>
          <w:szCs w:val="16"/>
        </w:rPr>
        <w:t>Od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 xml:space="preserve"> 29.12.2017., ZET ponovno posluje kao samostalno društvo, a ne kao podružnica ZAGREBAČKOG HOLDINGA. Za usporedbu, 2005. godine, kada je ZET poslova</w:t>
      </w:r>
      <w:r w:rsidR="00F506C5" w:rsidRPr="00F506C5">
        <w:rPr>
          <w:rFonts w:ascii="Arial" w:hAnsi="Arial" w:cs="Arial"/>
          <w:color w:val="244061" w:themeColor="accent1" w:themeShade="80"/>
          <w:sz w:val="16"/>
          <w:szCs w:val="16"/>
        </w:rPr>
        <w:t>o samostalno</w:t>
      </w:r>
      <w:r w:rsidR="00CF57BF" w:rsidRPr="00F506C5">
        <w:rPr>
          <w:rFonts w:ascii="Arial" w:hAnsi="Arial" w:cs="Arial"/>
          <w:color w:val="244061" w:themeColor="accent1" w:themeShade="80"/>
          <w:sz w:val="16"/>
          <w:szCs w:val="16"/>
        </w:rPr>
        <w:t>, ostvario je prihod od 913,6 milijuna 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FA" w:rsidRDefault="005F14FA" w:rsidP="00DC5CFA">
    <w:pPr>
      <w:pStyle w:val="Zaglavlje"/>
      <w:spacing w:after="120" w:line="240" w:lineRule="auto"/>
    </w:pPr>
    <w:r>
      <w:rPr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2C154A08" wp14:editId="47C5EBE6">
          <wp:simplePos x="0" y="0"/>
          <wp:positionH relativeFrom="column">
            <wp:posOffset>-14605</wp:posOffset>
          </wp:positionH>
          <wp:positionV relativeFrom="paragraph">
            <wp:posOffset>-70485</wp:posOffset>
          </wp:positionV>
          <wp:extent cx="1085215" cy="215900"/>
          <wp:effectExtent l="0" t="0" r="635" b="0"/>
          <wp:wrapNone/>
          <wp:docPr id="1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23CDC"/>
    <w:multiLevelType w:val="hybridMultilevel"/>
    <w:tmpl w:val="F07C5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81"/>
    <w:rsid w:val="00006126"/>
    <w:rsid w:val="000119BA"/>
    <w:rsid w:val="0001365A"/>
    <w:rsid w:val="00015175"/>
    <w:rsid w:val="00023384"/>
    <w:rsid w:val="00041298"/>
    <w:rsid w:val="0006230B"/>
    <w:rsid w:val="0007093C"/>
    <w:rsid w:val="0007629D"/>
    <w:rsid w:val="00077F56"/>
    <w:rsid w:val="00080F26"/>
    <w:rsid w:val="000A04B7"/>
    <w:rsid w:val="000A0D09"/>
    <w:rsid w:val="000A15AB"/>
    <w:rsid w:val="000B0816"/>
    <w:rsid w:val="000C641F"/>
    <w:rsid w:val="000D2C1A"/>
    <w:rsid w:val="00107DFA"/>
    <w:rsid w:val="00117B18"/>
    <w:rsid w:val="00117CEF"/>
    <w:rsid w:val="00123919"/>
    <w:rsid w:val="0012565A"/>
    <w:rsid w:val="0013251B"/>
    <w:rsid w:val="00150396"/>
    <w:rsid w:val="00152430"/>
    <w:rsid w:val="001562EF"/>
    <w:rsid w:val="00156AFE"/>
    <w:rsid w:val="00173FC8"/>
    <w:rsid w:val="001848D0"/>
    <w:rsid w:val="0019136C"/>
    <w:rsid w:val="001A5505"/>
    <w:rsid w:val="001B1228"/>
    <w:rsid w:val="001C75BE"/>
    <w:rsid w:val="001D0E15"/>
    <w:rsid w:val="001D7304"/>
    <w:rsid w:val="001F56D1"/>
    <w:rsid w:val="00207396"/>
    <w:rsid w:val="002238D4"/>
    <w:rsid w:val="00234CE2"/>
    <w:rsid w:val="0024093F"/>
    <w:rsid w:val="0024428C"/>
    <w:rsid w:val="002523DC"/>
    <w:rsid w:val="00265B93"/>
    <w:rsid w:val="00266313"/>
    <w:rsid w:val="002676A1"/>
    <w:rsid w:val="002709C6"/>
    <w:rsid w:val="00277C98"/>
    <w:rsid w:val="00290C05"/>
    <w:rsid w:val="002A009C"/>
    <w:rsid w:val="002C1C2D"/>
    <w:rsid w:val="002C703A"/>
    <w:rsid w:val="002E20EE"/>
    <w:rsid w:val="002E72D5"/>
    <w:rsid w:val="00304850"/>
    <w:rsid w:val="003070FA"/>
    <w:rsid w:val="003078F3"/>
    <w:rsid w:val="00310FE3"/>
    <w:rsid w:val="00311D23"/>
    <w:rsid w:val="00314558"/>
    <w:rsid w:val="00344419"/>
    <w:rsid w:val="003746FD"/>
    <w:rsid w:val="0037582F"/>
    <w:rsid w:val="003A642F"/>
    <w:rsid w:val="003A7998"/>
    <w:rsid w:val="003C00B4"/>
    <w:rsid w:val="003D1726"/>
    <w:rsid w:val="003D54B4"/>
    <w:rsid w:val="003E3A6F"/>
    <w:rsid w:val="003E4963"/>
    <w:rsid w:val="003F1FC9"/>
    <w:rsid w:val="004143E2"/>
    <w:rsid w:val="00424047"/>
    <w:rsid w:val="00440D15"/>
    <w:rsid w:val="00443A0A"/>
    <w:rsid w:val="0044557E"/>
    <w:rsid w:val="00447D31"/>
    <w:rsid w:val="004563B1"/>
    <w:rsid w:val="004869A3"/>
    <w:rsid w:val="00495172"/>
    <w:rsid w:val="004B4CE1"/>
    <w:rsid w:val="004C56E3"/>
    <w:rsid w:val="004E2705"/>
    <w:rsid w:val="004E5C91"/>
    <w:rsid w:val="004F132D"/>
    <w:rsid w:val="004F720B"/>
    <w:rsid w:val="00507849"/>
    <w:rsid w:val="00517F49"/>
    <w:rsid w:val="005238C8"/>
    <w:rsid w:val="005333E7"/>
    <w:rsid w:val="005404CC"/>
    <w:rsid w:val="005621CD"/>
    <w:rsid w:val="005738E7"/>
    <w:rsid w:val="00585175"/>
    <w:rsid w:val="00592DB2"/>
    <w:rsid w:val="005A5CED"/>
    <w:rsid w:val="005D024A"/>
    <w:rsid w:val="005E7D2F"/>
    <w:rsid w:val="005F14FA"/>
    <w:rsid w:val="00620104"/>
    <w:rsid w:val="00640833"/>
    <w:rsid w:val="00643513"/>
    <w:rsid w:val="00646516"/>
    <w:rsid w:val="00656470"/>
    <w:rsid w:val="00671EA1"/>
    <w:rsid w:val="006755C8"/>
    <w:rsid w:val="00693AEB"/>
    <w:rsid w:val="006B10EB"/>
    <w:rsid w:val="006D2202"/>
    <w:rsid w:val="006E0BF1"/>
    <w:rsid w:val="006E17A5"/>
    <w:rsid w:val="006F4CCE"/>
    <w:rsid w:val="00727904"/>
    <w:rsid w:val="007350D5"/>
    <w:rsid w:val="007841EF"/>
    <w:rsid w:val="00787703"/>
    <w:rsid w:val="00792201"/>
    <w:rsid w:val="007923F7"/>
    <w:rsid w:val="00794043"/>
    <w:rsid w:val="007A28E6"/>
    <w:rsid w:val="007A4649"/>
    <w:rsid w:val="007B2791"/>
    <w:rsid w:val="007C6860"/>
    <w:rsid w:val="008134A5"/>
    <w:rsid w:val="00820793"/>
    <w:rsid w:val="0082125B"/>
    <w:rsid w:val="008216C6"/>
    <w:rsid w:val="00824835"/>
    <w:rsid w:val="00833085"/>
    <w:rsid w:val="00840772"/>
    <w:rsid w:val="008567ED"/>
    <w:rsid w:val="008A39CF"/>
    <w:rsid w:val="008B16EA"/>
    <w:rsid w:val="008B688B"/>
    <w:rsid w:val="0090616B"/>
    <w:rsid w:val="0091008E"/>
    <w:rsid w:val="00922D7B"/>
    <w:rsid w:val="00952F5B"/>
    <w:rsid w:val="0096031B"/>
    <w:rsid w:val="00961B6D"/>
    <w:rsid w:val="00966DEB"/>
    <w:rsid w:val="009724F1"/>
    <w:rsid w:val="00976147"/>
    <w:rsid w:val="009825AF"/>
    <w:rsid w:val="00984AB5"/>
    <w:rsid w:val="00991E6F"/>
    <w:rsid w:val="009B615A"/>
    <w:rsid w:val="00A053FB"/>
    <w:rsid w:val="00A166C9"/>
    <w:rsid w:val="00A269D4"/>
    <w:rsid w:val="00A351C9"/>
    <w:rsid w:val="00A40318"/>
    <w:rsid w:val="00A458FF"/>
    <w:rsid w:val="00A63058"/>
    <w:rsid w:val="00A65C3A"/>
    <w:rsid w:val="00A66815"/>
    <w:rsid w:val="00A94CFB"/>
    <w:rsid w:val="00A94F5B"/>
    <w:rsid w:val="00AB3074"/>
    <w:rsid w:val="00AE351A"/>
    <w:rsid w:val="00B0580C"/>
    <w:rsid w:val="00B2638D"/>
    <w:rsid w:val="00B30C9F"/>
    <w:rsid w:val="00B31431"/>
    <w:rsid w:val="00B37250"/>
    <w:rsid w:val="00B37EC9"/>
    <w:rsid w:val="00B41F76"/>
    <w:rsid w:val="00B55C65"/>
    <w:rsid w:val="00B6224D"/>
    <w:rsid w:val="00B7663D"/>
    <w:rsid w:val="00BA0EFB"/>
    <w:rsid w:val="00BA7D81"/>
    <w:rsid w:val="00BB4E8D"/>
    <w:rsid w:val="00BD5E37"/>
    <w:rsid w:val="00C028D4"/>
    <w:rsid w:val="00C06A51"/>
    <w:rsid w:val="00C169E9"/>
    <w:rsid w:val="00C51229"/>
    <w:rsid w:val="00C51D71"/>
    <w:rsid w:val="00C57B15"/>
    <w:rsid w:val="00C708B2"/>
    <w:rsid w:val="00C72D96"/>
    <w:rsid w:val="00C73187"/>
    <w:rsid w:val="00C733B9"/>
    <w:rsid w:val="00C84E5B"/>
    <w:rsid w:val="00C851D5"/>
    <w:rsid w:val="00C976C8"/>
    <w:rsid w:val="00CB0383"/>
    <w:rsid w:val="00CB35D2"/>
    <w:rsid w:val="00CB4155"/>
    <w:rsid w:val="00CD10C6"/>
    <w:rsid w:val="00CD12F8"/>
    <w:rsid w:val="00CD1AAF"/>
    <w:rsid w:val="00CE13AE"/>
    <w:rsid w:val="00CE3B07"/>
    <w:rsid w:val="00CF57BF"/>
    <w:rsid w:val="00D24D79"/>
    <w:rsid w:val="00D26A64"/>
    <w:rsid w:val="00D26EBB"/>
    <w:rsid w:val="00D451B5"/>
    <w:rsid w:val="00D55155"/>
    <w:rsid w:val="00D63360"/>
    <w:rsid w:val="00D809C6"/>
    <w:rsid w:val="00D925A9"/>
    <w:rsid w:val="00DA5500"/>
    <w:rsid w:val="00DB5805"/>
    <w:rsid w:val="00DC267F"/>
    <w:rsid w:val="00DC5CFA"/>
    <w:rsid w:val="00DD0A2D"/>
    <w:rsid w:val="00DD3347"/>
    <w:rsid w:val="00DD4AEE"/>
    <w:rsid w:val="00E04786"/>
    <w:rsid w:val="00E20882"/>
    <w:rsid w:val="00E41B73"/>
    <w:rsid w:val="00E62767"/>
    <w:rsid w:val="00E72ACF"/>
    <w:rsid w:val="00E76D71"/>
    <w:rsid w:val="00E8651F"/>
    <w:rsid w:val="00E9254A"/>
    <w:rsid w:val="00E97781"/>
    <w:rsid w:val="00EA0254"/>
    <w:rsid w:val="00EA63A4"/>
    <w:rsid w:val="00EC60D8"/>
    <w:rsid w:val="00ED3C14"/>
    <w:rsid w:val="00EE3DE1"/>
    <w:rsid w:val="00EF6A47"/>
    <w:rsid w:val="00F01CDD"/>
    <w:rsid w:val="00F02A19"/>
    <w:rsid w:val="00F401A2"/>
    <w:rsid w:val="00F44DD1"/>
    <w:rsid w:val="00F506C5"/>
    <w:rsid w:val="00F60989"/>
    <w:rsid w:val="00F61526"/>
    <w:rsid w:val="00F62110"/>
    <w:rsid w:val="00F74AD9"/>
    <w:rsid w:val="00F75724"/>
    <w:rsid w:val="00F9249B"/>
    <w:rsid w:val="00FA10BE"/>
    <w:rsid w:val="00FA46E1"/>
    <w:rsid w:val="00FD5556"/>
    <w:rsid w:val="00FD77E1"/>
    <w:rsid w:val="00F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E97781"/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iperveza">
    <w:name w:val="Hyperlink"/>
    <w:uiPriority w:val="99"/>
    <w:unhideWhenUsed/>
    <w:rsid w:val="00E977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781"/>
  </w:style>
  <w:style w:type="paragraph" w:styleId="Odlomakpopisa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3251B"/>
    <w:rPr>
      <w:sz w:val="20"/>
      <w:szCs w:val="20"/>
    </w:rPr>
  </w:style>
  <w:style w:type="character" w:customStyle="1" w:styleId="c41">
    <w:name w:val="c41"/>
    <w:basedOn w:val="Zadanifontodlomka"/>
    <w:rsid w:val="00311D23"/>
  </w:style>
  <w:style w:type="character" w:customStyle="1" w:styleId="c40">
    <w:name w:val="c40"/>
    <w:basedOn w:val="Zadanifontodlomka"/>
    <w:rsid w:val="00440D15"/>
  </w:style>
  <w:style w:type="character" w:customStyle="1" w:styleId="c35">
    <w:name w:val="c35"/>
    <w:basedOn w:val="Zadanifontodlomka"/>
    <w:rsid w:val="00B6224D"/>
  </w:style>
  <w:style w:type="character" w:customStyle="1" w:styleId="fmt-integer">
    <w:name w:val="fmt-integer"/>
    <w:basedOn w:val="Zadanifontodlomka"/>
    <w:rsid w:val="008216C6"/>
  </w:style>
  <w:style w:type="character" w:styleId="SlijeenaHiperveza">
    <w:name w:val="FollowedHyperlink"/>
    <w:basedOn w:val="Zadanifontodlomka"/>
    <w:uiPriority w:val="99"/>
    <w:semiHidden/>
    <w:unhideWhenUsed/>
    <w:rsid w:val="000C641F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37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E97781"/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iperveza">
    <w:name w:val="Hyperlink"/>
    <w:uiPriority w:val="99"/>
    <w:unhideWhenUsed/>
    <w:rsid w:val="00E9778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7781"/>
  </w:style>
  <w:style w:type="paragraph" w:styleId="Odlomakpopisa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3251B"/>
    <w:rPr>
      <w:sz w:val="20"/>
      <w:szCs w:val="20"/>
    </w:rPr>
  </w:style>
  <w:style w:type="character" w:customStyle="1" w:styleId="c41">
    <w:name w:val="c41"/>
    <w:basedOn w:val="Zadanifontodlomka"/>
    <w:rsid w:val="00311D23"/>
  </w:style>
  <w:style w:type="character" w:customStyle="1" w:styleId="c40">
    <w:name w:val="c40"/>
    <w:basedOn w:val="Zadanifontodlomka"/>
    <w:rsid w:val="00440D15"/>
  </w:style>
  <w:style w:type="character" w:customStyle="1" w:styleId="c35">
    <w:name w:val="c35"/>
    <w:basedOn w:val="Zadanifontodlomka"/>
    <w:rsid w:val="00B6224D"/>
  </w:style>
  <w:style w:type="character" w:customStyle="1" w:styleId="fmt-integer">
    <w:name w:val="fmt-integer"/>
    <w:basedOn w:val="Zadanifontodlomka"/>
    <w:rsid w:val="008216C6"/>
  </w:style>
  <w:style w:type="character" w:styleId="SlijeenaHiperveza">
    <w:name w:val="FollowedHyperlink"/>
    <w:basedOn w:val="Zadanifontodlomka"/>
    <w:uiPriority w:val="99"/>
    <w:semiHidden/>
    <w:unhideWhenUsed/>
    <w:rsid w:val="000C641F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37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mailto:info@fina.hr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13421314997/7717b91183a8fda24fcba45cac7baad04cffa00bc6a3f5c59bd0e08d5de873c4bd08edc3417b838fa6c56b7139122b623c644eebd1699722e30293cb01447756" TargetMode="External"/><Relationship Id="rId34" Type="http://schemas.openxmlformats.org/officeDocument/2006/relationships/hyperlink" Target="http://www.fina.hr/Default.aspx?sec=153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hyperlink" Target="mailto:prodaja@fina.hr" TargetMode="External"/><Relationship Id="rId33" Type="http://schemas.openxmlformats.org/officeDocument/2006/relationships/hyperlink" Target="mailto:info@fina.hr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transparentno.hr/pregled/19819724166/7faf4a8bebf0492dd3dd792a6bfd02a54db65f8fbd8c05d1ac5f192b5908279b88c785fa2cfada82d1d1583348177f0d6525b132a9d17b43b8dadc136609e1bb" TargetMode="External"/><Relationship Id="rId29" Type="http://schemas.openxmlformats.org/officeDocument/2006/relationships/hyperlink" Target="mailto:analize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www.fina.hr/info.biz" TargetMode="External"/><Relationship Id="rId32" Type="http://schemas.openxmlformats.org/officeDocument/2006/relationships/hyperlink" Target="http://www.fina.hr/Default.aspx?art=8958&amp;sec=1275" TargetMode="External"/><Relationship Id="rId37" Type="http://schemas.openxmlformats.org/officeDocument/2006/relationships/hyperlink" Target="mailto:jrr@fina.hr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fina.hr/info.biz" TargetMode="External"/><Relationship Id="rId23" Type="http://schemas.openxmlformats.org/officeDocument/2006/relationships/hyperlink" Target="https://www.transparentno.hr/pregled/03750497372/247e51eef4f616b6c8d5029dfe2eb69b990fa750d093b41958aa37a358e5cdd1190f33ad19739c084b6380ddd0f59a5a88613be773f419bd897563a868b90ab8" TargetMode="External"/><Relationship Id="rId28" Type="http://schemas.openxmlformats.org/officeDocument/2006/relationships/hyperlink" Target="http://www.fina.hr/Default.aspx?sec=1279" TargetMode="External"/><Relationship Id="rId36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transparentno.hr/pregled/83938812619/822809f03c0a66ebd728bb0f9ec2762cfc81f2d92c6d8f1054828ef632de5e437399bb84972f43b82b2cd045b3c7b286b07816a3dda1a35260a6565425b3ce4f" TargetMode="External"/><Relationship Id="rId19" Type="http://schemas.openxmlformats.org/officeDocument/2006/relationships/hyperlink" Target="https://www.fina.hr/info.biz" TargetMode="External"/><Relationship Id="rId31" Type="http://schemas.openxmlformats.org/officeDocument/2006/relationships/hyperlink" Target="https://www.transparentno.h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ina.hr/info.biz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transparentno.hr/pregled/20894248721/01147ba77f2775675484ed05094346c351af13601409afdb4cd125faab9d66f8fd8ad68867b071ca0c60bb390734de26dc53990a071d65d7229ff340787944df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://rgfi.fina.hr/JavnaObjava-web/jsp/prijavaKorisnika.jsp" TargetMode="External"/><Relationship Id="rId35" Type="http://schemas.openxmlformats.org/officeDocument/2006/relationships/hyperlink" Target="https://jrr.fina.hr/jri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1E23-65E6-4BA2-8AFF-4B5DB58E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1805</Words>
  <Characters>10291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Sandra Fabrični</cp:lastModifiedBy>
  <cp:revision>7</cp:revision>
  <dcterms:created xsi:type="dcterms:W3CDTF">2020-01-20T13:22:00Z</dcterms:created>
  <dcterms:modified xsi:type="dcterms:W3CDTF">2020-01-20T13:31:00Z</dcterms:modified>
</cp:coreProperties>
</file>