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5A0F9E" w:rsidRDefault="0024364B" w:rsidP="00706AA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bookmarkStart w:id="0" w:name="_GoBack"/>
      <w:r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USPOREDBA </w:t>
      </w:r>
      <w:r w:rsidR="00542BFC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FINANCIJSKIH </w:t>
      </w:r>
      <w:r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REZULTATA PODUZETNIKA </w:t>
      </w:r>
      <w:r w:rsidR="006E1F50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U </w:t>
      </w:r>
      <w:r w:rsidR="00542BFC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JEDNOM OD </w:t>
      </w:r>
      <w:r w:rsidR="00706AA2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PET</w:t>
      </w:r>
      <w:r w:rsidR="006E1F50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PAMETNIH GRADOVA – </w:t>
      </w:r>
      <w:r w:rsidR="00E31B6A">
        <w:rPr>
          <w:rFonts w:ascii="Arial" w:hAnsi="Arial" w:cs="Arial"/>
          <w:b/>
          <w:color w:val="244061" w:themeColor="accent1" w:themeShade="80"/>
          <w:sz w:val="20"/>
          <w:szCs w:val="20"/>
        </w:rPr>
        <w:t>BJELOVARU, POREČU, PULI, RIJECI I VRGORCU</w:t>
      </w:r>
    </w:p>
    <w:bookmarkEnd w:id="0"/>
    <w:p w:rsidR="0025004C" w:rsidRPr="000F2066" w:rsidRDefault="0025004C" w:rsidP="00297CC9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>U posljednjih pedesetak godina razvoja koncepta pametnih gradova</w:t>
      </w:r>
      <w:r w:rsidR="00B21C0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 xml:space="preserve"> u svijetu je oko </w:t>
      </w:r>
      <w:r w:rsidR="006E1F50">
        <w:rPr>
          <w:rFonts w:ascii="Arial" w:hAnsi="Arial" w:cs="Arial"/>
          <w:color w:val="244061" w:themeColor="accent1" w:themeShade="80"/>
          <w:sz w:val="20"/>
          <w:szCs w:val="20"/>
        </w:rPr>
        <w:t>osam</w:t>
      </w: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gradova „pretvoreno“ u pametne gradove. Nizozemska je vodeća europska zemlja po br</w:t>
      </w:r>
      <w:r w:rsidR="007A1F04">
        <w:rPr>
          <w:rFonts w:ascii="Arial" w:hAnsi="Arial" w:cs="Arial"/>
          <w:color w:val="244061" w:themeColor="accent1" w:themeShade="80"/>
          <w:sz w:val="20"/>
          <w:szCs w:val="20"/>
        </w:rPr>
        <w:t xml:space="preserve">oju pametnih gradova. </w:t>
      </w:r>
      <w:r w:rsidR="00B92555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B92555" w:rsidRPr="00B92555">
        <w:rPr>
          <w:rFonts w:ascii="Arial" w:hAnsi="Arial" w:cs="Arial"/>
          <w:color w:val="244061" w:themeColor="accent1" w:themeShade="80"/>
          <w:sz w:val="20"/>
          <w:szCs w:val="20"/>
        </w:rPr>
        <w:t>a 201</w:t>
      </w:r>
      <w:r w:rsidR="002F6E29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B92555" w:rsidRPr="00B92555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godinu pametnim gradovima u Hrvatskoj proglašeni su: </w:t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Bjelovar</w:t>
      </w:r>
      <w:r w:rsidR="00B92555" w:rsidRPr="000F206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Poreč</w:t>
      </w:r>
      <w:r w:rsidR="00B92555" w:rsidRPr="000F206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Pula</w:t>
      </w:r>
      <w:r w:rsidR="00B92555" w:rsidRPr="000F206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Rijeka</w:t>
      </w:r>
      <w:r w:rsidR="00B92555" w:rsidRPr="000F2066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Vrgorac</w:t>
      </w:r>
      <w:r w:rsidR="002F6E29" w:rsidRPr="000F2066">
        <w:rPr>
          <w:rStyle w:val="Referencafusnote"/>
          <w:rFonts w:ascii="Arial" w:hAnsi="Arial" w:cs="Arial"/>
          <w:color w:val="244061" w:themeColor="accent1" w:themeShade="80"/>
          <w:sz w:val="20"/>
          <w:szCs w:val="20"/>
        </w:rPr>
        <w:footnoteReference w:id="1"/>
      </w:r>
      <w:r w:rsidR="000F2066" w:rsidRPr="000F206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0A7CB8" w:rsidRPr="009C350D" w:rsidRDefault="000A7CB8" w:rsidP="00297CC9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>Na području navedenih gradova, u 201</w:t>
      </w:r>
      <w:r w:rsidR="002F6E29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483C33">
        <w:rPr>
          <w:rFonts w:ascii="Arial" w:hAnsi="Arial" w:cs="Arial"/>
          <w:color w:val="244061" w:themeColor="accent1" w:themeShade="80"/>
          <w:sz w:val="20"/>
          <w:szCs w:val="20"/>
        </w:rPr>
        <w:t xml:space="preserve">bio </w:t>
      </w: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je ukupno </w:t>
      </w:r>
      <w:r w:rsidR="007A1D67" w:rsidRPr="009C350D">
        <w:rPr>
          <w:rFonts w:ascii="Arial" w:hAnsi="Arial" w:cs="Arial"/>
          <w:color w:val="244061" w:themeColor="accent1" w:themeShade="80"/>
          <w:sz w:val="20"/>
          <w:szCs w:val="20"/>
        </w:rPr>
        <w:t>9540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</w:t>
      </w:r>
      <w:r w:rsidR="007A1D67" w:rsidRPr="009C350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440BEC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</w:t>
      </w:r>
      <w:r w:rsidR="00610A65">
        <w:rPr>
          <w:rFonts w:ascii="Arial" w:hAnsi="Arial" w:cs="Arial"/>
          <w:color w:val="244061" w:themeColor="accent1" w:themeShade="80"/>
          <w:sz w:val="20"/>
          <w:szCs w:val="20"/>
        </w:rPr>
        <w:t xml:space="preserve">imali </w:t>
      </w:r>
      <w:r w:rsidR="00440BEC">
        <w:rPr>
          <w:rFonts w:ascii="Arial" w:hAnsi="Arial" w:cs="Arial"/>
          <w:color w:val="244061" w:themeColor="accent1" w:themeShade="80"/>
          <w:sz w:val="20"/>
          <w:szCs w:val="20"/>
        </w:rPr>
        <w:t>61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440BEC">
        <w:rPr>
          <w:rFonts w:ascii="Arial" w:hAnsi="Arial" w:cs="Arial"/>
          <w:color w:val="244061" w:themeColor="accent1" w:themeShade="80"/>
          <w:sz w:val="20"/>
          <w:szCs w:val="20"/>
        </w:rPr>
        <w:t>924 zaposlena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440BE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F2D9B" w:rsidRPr="00EF2D9B">
        <w:rPr>
          <w:rFonts w:ascii="Arial" w:hAnsi="Arial" w:cs="Arial"/>
          <w:color w:val="244061" w:themeColor="accent1" w:themeShade="80"/>
          <w:sz w:val="20"/>
          <w:szCs w:val="20"/>
        </w:rPr>
        <w:t xml:space="preserve">što je prosječno </w:t>
      </w:r>
      <w:r w:rsidR="00EF2D9B">
        <w:rPr>
          <w:rFonts w:ascii="Arial" w:hAnsi="Arial" w:cs="Arial"/>
          <w:color w:val="244061" w:themeColor="accent1" w:themeShade="80"/>
          <w:sz w:val="20"/>
          <w:szCs w:val="20"/>
        </w:rPr>
        <w:t>6,5</w:t>
      </w:r>
      <w:r w:rsidR="00EF2D9B" w:rsidRPr="00EF2D9B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EF2D9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EF2D9B" w:rsidRPr="00EF2D9B">
        <w:rPr>
          <w:rFonts w:ascii="Arial" w:hAnsi="Arial" w:cs="Arial"/>
          <w:color w:val="244061" w:themeColor="accent1" w:themeShade="80"/>
          <w:sz w:val="20"/>
          <w:szCs w:val="20"/>
        </w:rPr>
        <w:t xml:space="preserve"> po poduzetniku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>. Riječ je o poduzetnicima koji su sastavili i u Registar godišnjih financijskih izvještaja podnijeli točan i potpun godišnji financijski izvještaj za 201</w:t>
      </w:r>
      <w:r w:rsidR="007A1D67" w:rsidRPr="009C350D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>odinu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 xml:space="preserve"> za statističke i druge potrebe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. Od navedenoga broja, najviše je poduzetnika na području </w:t>
      </w:r>
      <w:r w:rsidR="007A1D67" w:rsidRPr="009C350D">
        <w:rPr>
          <w:rFonts w:ascii="Arial" w:hAnsi="Arial" w:cs="Arial"/>
          <w:color w:val="244061" w:themeColor="accent1" w:themeShade="80"/>
          <w:sz w:val="20"/>
          <w:szCs w:val="20"/>
        </w:rPr>
        <w:t>Rijeke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7A1D67" w:rsidRPr="009C350D">
        <w:rPr>
          <w:rFonts w:ascii="Arial" w:hAnsi="Arial" w:cs="Arial"/>
          <w:color w:val="244061" w:themeColor="accent1" w:themeShade="80"/>
          <w:sz w:val="20"/>
          <w:szCs w:val="20"/>
        </w:rPr>
        <w:t>4568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imali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 xml:space="preserve"> najveći broj zaposlenih (29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>989)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, a najmanji je broj poduzetnika na području 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>Vrgorca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>80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i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mali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 xml:space="preserve"> najmanj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, 1</w:t>
      </w:r>
      <w:r w:rsidR="00E31B6A">
        <w:rPr>
          <w:rFonts w:ascii="Arial" w:hAnsi="Arial" w:cs="Arial"/>
          <w:color w:val="244061" w:themeColor="accent1" w:themeShade="80"/>
          <w:sz w:val="20"/>
          <w:szCs w:val="20"/>
        </w:rPr>
        <w:t>809</w:t>
      </w:r>
      <w:r w:rsidRPr="009C350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B92555" w:rsidRPr="009C350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B9330E" w:rsidRPr="00C8523D" w:rsidRDefault="00B9330E" w:rsidP="00297CC9">
      <w:pPr>
        <w:tabs>
          <w:tab w:val="right" w:pos="9639"/>
        </w:tabs>
        <w:spacing w:before="180" w:after="0" w:line="240" w:lineRule="auto"/>
        <w:ind w:left="992" w:right="-28" w:hanging="992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Osnovni finan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cijski rezultati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3E72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5 </w:t>
      </w:r>
      <w:r w:rsidR="004359CE"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pametnih gradova u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2F6E2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D27BB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</w:p>
    <w:p w:rsidR="00B9330E" w:rsidRPr="003C116E" w:rsidRDefault="00B9330E" w:rsidP="004630CA">
      <w:pPr>
        <w:tabs>
          <w:tab w:val="left" w:pos="1134"/>
          <w:tab w:val="right" w:pos="9639"/>
        </w:tabs>
        <w:spacing w:after="60" w:line="240" w:lineRule="auto"/>
        <w:ind w:left="1134" w:hanging="1134"/>
        <w:jc w:val="right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38" w:type="dxa"/>
        <w:jc w:val="center"/>
        <w:tblInd w:w="-56" w:type="dxa"/>
        <w:tblLayout w:type="fixed"/>
        <w:tblLook w:val="04A0" w:firstRow="1" w:lastRow="0" w:firstColumn="1" w:lastColumn="0" w:noHBand="0" w:noVBand="1"/>
      </w:tblPr>
      <w:tblGrid>
        <w:gridCol w:w="3402"/>
        <w:gridCol w:w="1020"/>
        <w:gridCol w:w="1020"/>
        <w:gridCol w:w="1049"/>
        <w:gridCol w:w="1049"/>
        <w:gridCol w:w="1021"/>
        <w:gridCol w:w="1077"/>
      </w:tblGrid>
      <w:tr w:rsidR="00297CC9" w:rsidRPr="00297CC9" w:rsidTr="00297CC9">
        <w:trPr>
          <w:trHeight w:val="283"/>
          <w:jc w:val="center"/>
        </w:trPr>
        <w:tc>
          <w:tcPr>
            <w:tcW w:w="3402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297CC9" w:rsidRPr="00440BEC" w:rsidRDefault="00297CC9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bookmarkStart w:id="1" w:name="OLE_LINK1"/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51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297CC9" w:rsidRPr="00440BEC" w:rsidRDefault="00297CC9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 pametnih gradova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297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</w:t>
            </w:r>
          </w:p>
        </w:tc>
      </w:tr>
      <w:tr w:rsidR="00297CC9" w:rsidRPr="00297CC9" w:rsidTr="00297CC9">
        <w:trPr>
          <w:trHeight w:val="283"/>
          <w:jc w:val="center"/>
        </w:trPr>
        <w:tc>
          <w:tcPr>
            <w:tcW w:w="3402" w:type="dxa"/>
            <w:vMerge/>
            <w:tcBorders>
              <w:left w:val="nil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297CC9" w:rsidRPr="004946AC" w:rsidRDefault="00297CC9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B9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BD6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297CC9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297CC9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021" w:type="dxa"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297CC9" w:rsidRPr="00440BEC" w:rsidRDefault="00297CC9" w:rsidP="00B9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Vrgorac</w:t>
            </w:r>
          </w:p>
        </w:tc>
        <w:tc>
          <w:tcPr>
            <w:tcW w:w="1077" w:type="dxa"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297CC9" w:rsidRPr="004946AC" w:rsidRDefault="00297CC9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7A1D67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A1D67" w:rsidRPr="008B2AD2" w:rsidRDefault="007A1D67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898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1.305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2.689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4.568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80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A1D67" w:rsidRPr="00440BEC" w:rsidRDefault="007A1D67" w:rsidP="002B3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9.540</w:t>
            </w:r>
          </w:p>
        </w:tc>
      </w:tr>
      <w:tr w:rsidR="007A1D67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8B2AD2" w:rsidRDefault="007A1D67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Broj </w:t>
            </w:r>
            <w:proofErr w:type="spellStart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668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792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1.621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2.996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65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6.142</w:t>
            </w:r>
          </w:p>
        </w:tc>
      </w:tr>
      <w:tr w:rsidR="007A1D67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8B2AD2" w:rsidRDefault="007A1D67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230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513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1.068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1.572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15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3.398</w:t>
            </w:r>
          </w:p>
        </w:tc>
      </w:tr>
      <w:tr w:rsidR="007A1D67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8B2AD2" w:rsidRDefault="007A1D67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7.149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8.315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14.662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29.989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1.809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61.924</w:t>
            </w:r>
          </w:p>
        </w:tc>
      </w:tr>
      <w:tr w:rsidR="007A1D67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A1D67" w:rsidRPr="008B2AD2" w:rsidRDefault="007A1D67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3.790.250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5.063.176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9.213.925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20.015.592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1.481.774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A1D67" w:rsidRPr="00440BEC" w:rsidRDefault="007A1D67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39.564.717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918AF" w:rsidRPr="008B2AD2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3.646.614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4.582.208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10.756.857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19.002.644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1.447.874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39.436.198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184.559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549.353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513.654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1.335.060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40.249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2.622.875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40.923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68.385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2.056.586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322.112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6.349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2.494.355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156.422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509.847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430.023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1.139.788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33.244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2.269.324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40.936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68.504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2.056.737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322.741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6.349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2.495.267</w:t>
            </w:r>
          </w:p>
        </w:tc>
      </w:tr>
      <w:tr w:rsidR="00F918AF" w:rsidRPr="00297CC9" w:rsidTr="00297CC9">
        <w:trPr>
          <w:trHeight w:val="454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B43EE7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115.486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441.343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-1.626.713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817.047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26.895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FF0000"/>
                <w:sz w:val="17"/>
                <w:szCs w:val="17"/>
                <w:lang w:eastAsia="hr-HR"/>
              </w:rPr>
              <w:t>-225.942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710.787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2.274.074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3.056.761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4.481.524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16.348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10.539.493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495.252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334.037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2.231.099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1.518.538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48.737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4.627.663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rajnu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64.762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601.651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291.627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394.510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24.648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1.377.198</w:t>
            </w:r>
          </w:p>
        </w:tc>
      </w:tr>
      <w:tr w:rsidR="00F918AF" w:rsidRPr="00297CC9" w:rsidTr="00297CC9">
        <w:trPr>
          <w:trHeight w:val="285"/>
          <w:jc w:val="center"/>
        </w:trPr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918AF" w:rsidRPr="004F7B3C" w:rsidRDefault="00F918AF" w:rsidP="00297CC9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</w:t>
            </w:r>
            <w:r w:rsidR="00297CC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ečna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mjes</w:t>
            </w:r>
            <w:r w:rsidR="00297CC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ečna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enom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4.106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5.864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5.523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5.311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4.498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918AF" w:rsidRPr="00440BEC" w:rsidRDefault="00F918AF" w:rsidP="00297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40BEC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5.273</w:t>
            </w:r>
          </w:p>
        </w:tc>
      </w:tr>
    </w:tbl>
    <w:bookmarkEnd w:id="1"/>
    <w:p w:rsidR="00B9330E" w:rsidRPr="004946AC" w:rsidRDefault="00B9330E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E4B8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2F6E2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25004C" w:rsidRPr="009612AA" w:rsidRDefault="00E75554" w:rsidP="00E31B6A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40BEC">
        <w:rPr>
          <w:rFonts w:ascii="Arial" w:hAnsi="Arial" w:cs="Arial"/>
          <w:b/>
          <w:color w:val="244061" w:themeColor="accent1" w:themeShade="80"/>
          <w:sz w:val="20"/>
          <w:szCs w:val="20"/>
        </w:rPr>
        <w:t>Najveći rast ukupnih prihoda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ostvarili su poduzetnici sa sjedištem u P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uli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25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%). Slijede poduzetnici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Poreč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(1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%) i 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Rijeke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(9,</w:t>
      </w:r>
      <w:r w:rsidR="009C350D" w:rsidRPr="009612AA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%), a </w:t>
      </w:r>
      <w:r w:rsidRPr="00EF2D9B">
        <w:rPr>
          <w:rFonts w:ascii="Arial" w:hAnsi="Arial" w:cs="Arial"/>
          <w:b/>
          <w:color w:val="244061" w:themeColor="accent1" w:themeShade="80"/>
          <w:sz w:val="20"/>
          <w:szCs w:val="20"/>
        </w:rPr>
        <w:t>najmanji su rast prihoda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ostvarili poduzetnici </w:t>
      </w:r>
      <w:r w:rsidR="00610A65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9612AA" w:rsidRPr="009612AA">
        <w:rPr>
          <w:rFonts w:ascii="Arial" w:hAnsi="Arial" w:cs="Arial"/>
          <w:color w:val="244061" w:themeColor="accent1" w:themeShade="80"/>
          <w:sz w:val="20"/>
          <w:szCs w:val="20"/>
        </w:rPr>
        <w:t>Vrgorc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9612AA" w:rsidRPr="009612AA">
        <w:rPr>
          <w:rFonts w:ascii="Arial" w:hAnsi="Arial" w:cs="Arial"/>
          <w:color w:val="244061" w:themeColor="accent1" w:themeShade="80"/>
          <w:sz w:val="20"/>
          <w:szCs w:val="20"/>
        </w:rPr>
        <w:t>0,5</w:t>
      </w:r>
      <w:r w:rsidRPr="009612AA">
        <w:rPr>
          <w:rFonts w:ascii="Arial" w:hAnsi="Arial" w:cs="Arial"/>
          <w:color w:val="244061" w:themeColor="accent1" w:themeShade="80"/>
          <w:sz w:val="20"/>
          <w:szCs w:val="20"/>
        </w:rPr>
        <w:t xml:space="preserve"> %).</w:t>
      </w:r>
    </w:p>
    <w:p w:rsidR="00D27BB0" w:rsidRDefault="00D27BB0" w:rsidP="00D27BB0">
      <w:pPr>
        <w:widowControl w:val="0"/>
        <w:tabs>
          <w:tab w:val="left" w:pos="1134"/>
          <w:tab w:val="right" w:pos="9639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002060"/>
          <w:sz w:val="16"/>
          <w:szCs w:val="16"/>
          <w:lang w:eastAsia="hr-HR"/>
        </w:rPr>
      </w:pP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2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.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ab/>
      </w:r>
      <w:r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Broj poduzetnika, zaposlenih i ukupan prihod poduzetnika </w:t>
      </w:r>
      <w:r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5</w:t>
      </w:r>
      <w:r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 pametnih gradova</w:t>
      </w:r>
      <w:r w:rsidRPr="0017712A">
        <w:rPr>
          <w:rFonts w:ascii="Arial" w:eastAsia="Times New Roman" w:hAnsi="Arial" w:cs="Arial"/>
          <w:b/>
          <w:color w:val="002060"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color w:val="002060"/>
          <w:sz w:val="16"/>
          <w:szCs w:val="16"/>
          <w:lang w:eastAsia="hr-HR"/>
        </w:rPr>
        <w:tab/>
      </w:r>
      <w:r>
        <w:rPr>
          <w:rFonts w:ascii="Arial" w:eastAsia="Times New Roman" w:hAnsi="Arial" w:cs="Arial"/>
          <w:color w:val="002060"/>
          <w:sz w:val="16"/>
          <w:szCs w:val="16"/>
          <w:lang w:eastAsia="hr-HR"/>
        </w:rPr>
        <w:tab/>
      </w:r>
      <w:r w:rsidRPr="00D17174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(iznosi: u tisućama kuna</w:t>
      </w:r>
      <w:r>
        <w:rPr>
          <w:rFonts w:ascii="Arial" w:eastAsia="Times New Roman" w:hAnsi="Arial" w:cs="Arial"/>
          <w:color w:val="002060"/>
          <w:sz w:val="16"/>
          <w:szCs w:val="16"/>
          <w:lang w:eastAsia="hr-HR"/>
        </w:rPr>
        <w:t>)</w:t>
      </w:r>
    </w:p>
    <w:tbl>
      <w:tblPr>
        <w:tblW w:w="97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194"/>
        <w:gridCol w:w="711"/>
        <w:gridCol w:w="1194"/>
        <w:gridCol w:w="1194"/>
        <w:gridCol w:w="711"/>
        <w:gridCol w:w="1365"/>
        <w:gridCol w:w="1365"/>
        <w:gridCol w:w="711"/>
      </w:tblGrid>
      <w:tr w:rsidR="00D27BB0" w:rsidRPr="006F25A6" w:rsidTr="00C2090F">
        <w:trPr>
          <w:trHeight w:val="283"/>
          <w:jc w:val="center"/>
        </w:trPr>
        <w:tc>
          <w:tcPr>
            <w:tcW w:w="13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 grada</w:t>
            </w:r>
          </w:p>
        </w:tc>
        <w:tc>
          <w:tcPr>
            <w:tcW w:w="119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poduzetnika</w:t>
            </w:r>
          </w:p>
        </w:tc>
        <w:tc>
          <w:tcPr>
            <w:tcW w:w="71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27BB0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</w:t>
            </w:r>
            <w:r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7</w:t>
            </w: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71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D27BB0" w:rsidRPr="008B2AD2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D27BB0" w:rsidRPr="008B2AD2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</w:t>
            </w:r>
            <w:r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7</w:t>
            </w:r>
            <w:r w:rsidRPr="008B2AD2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27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Ukupan prihod</w:t>
            </w:r>
          </w:p>
        </w:tc>
        <w:tc>
          <w:tcPr>
            <w:tcW w:w="71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D27BB0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D27BB0" w:rsidRPr="00F77F7B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</w:t>
            </w:r>
            <w:r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7</w:t>
            </w: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</w:tr>
      <w:tr w:rsidR="00D27BB0" w:rsidRPr="006F25A6" w:rsidTr="00D27BB0">
        <w:trPr>
          <w:trHeight w:val="283"/>
          <w:jc w:val="center"/>
        </w:trPr>
        <w:tc>
          <w:tcPr>
            <w:tcW w:w="13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bottom"/>
            <w:hideMark/>
          </w:tcPr>
          <w:p w:rsidR="00D27BB0" w:rsidRPr="00B8773C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1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7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71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</w:tcPr>
          <w:p w:rsidR="00D27BB0" w:rsidRPr="008B2AD2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7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71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000000" w:fill="16365C"/>
          </w:tcPr>
          <w:p w:rsidR="00D27BB0" w:rsidRPr="00B8773C" w:rsidRDefault="00D27BB0" w:rsidP="00C20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single" w:sz="4" w:space="0" w:color="FFFFFF" w:themeColor="background1"/>
              <w:bottom w:val="nil"/>
            </w:tcBorders>
            <w:shd w:val="clear" w:color="000000" w:fill="DCE6F1"/>
            <w:noWrap/>
            <w:vAlign w:val="center"/>
          </w:tcPr>
          <w:p w:rsidR="00D27BB0" w:rsidRPr="001E67E2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194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898 </w:t>
            </w:r>
          </w:p>
        </w:tc>
        <w:tc>
          <w:tcPr>
            <w:tcW w:w="711" w:type="dxa"/>
            <w:tcBorders>
              <w:top w:val="single" w:sz="4" w:space="0" w:color="FFFFFF" w:themeColor="background1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6.921 </w:t>
            </w:r>
          </w:p>
        </w:tc>
        <w:tc>
          <w:tcPr>
            <w:tcW w:w="1194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7.149 </w:t>
            </w:r>
          </w:p>
        </w:tc>
        <w:tc>
          <w:tcPr>
            <w:tcW w:w="711" w:type="dxa"/>
            <w:tcBorders>
              <w:top w:val="single" w:sz="4" w:space="0" w:color="FFFFFF" w:themeColor="background1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365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3.557.426 </w:t>
            </w:r>
          </w:p>
        </w:tc>
        <w:tc>
          <w:tcPr>
            <w:tcW w:w="1365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3.790.250 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</w:t>
            </w: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nil"/>
              <w:bottom w:val="nil"/>
            </w:tcBorders>
            <w:shd w:val="clear" w:color="000000" w:fill="DCE6F1"/>
            <w:noWrap/>
            <w:vAlign w:val="center"/>
          </w:tcPr>
          <w:p w:rsidR="00D27BB0" w:rsidRPr="001E67E2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1.305 </w:t>
            </w:r>
          </w:p>
        </w:tc>
        <w:tc>
          <w:tcPr>
            <w:tcW w:w="711" w:type="dxa"/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7.497 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8.315 </w:t>
            </w:r>
          </w:p>
        </w:tc>
        <w:tc>
          <w:tcPr>
            <w:tcW w:w="711" w:type="dxa"/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4.376.966 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5.063.176 </w:t>
            </w: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</w:t>
            </w: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nil"/>
              <w:bottom w:val="single" w:sz="12" w:space="0" w:color="0F243E" w:themeColor="text2" w:themeShade="80"/>
            </w:tcBorders>
            <w:shd w:val="clear" w:color="000000" w:fill="DCE6F1"/>
            <w:noWrap/>
            <w:vAlign w:val="center"/>
          </w:tcPr>
          <w:p w:rsidR="00D27BB0" w:rsidRPr="001E67E2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194" w:type="dxa"/>
            <w:tcBorders>
              <w:bottom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2.689 </w:t>
            </w:r>
          </w:p>
        </w:tc>
        <w:tc>
          <w:tcPr>
            <w:tcW w:w="711" w:type="dxa"/>
            <w:tcBorders>
              <w:bottom w:val="single" w:sz="12" w:space="0" w:color="0F243E" w:themeColor="text2" w:themeShade="80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4" w:type="dxa"/>
            <w:tcBorders>
              <w:bottom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13.665 </w:t>
            </w:r>
          </w:p>
        </w:tc>
        <w:tc>
          <w:tcPr>
            <w:tcW w:w="1194" w:type="dxa"/>
            <w:tcBorders>
              <w:bottom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14.662 </w:t>
            </w:r>
          </w:p>
        </w:tc>
        <w:tc>
          <w:tcPr>
            <w:tcW w:w="711" w:type="dxa"/>
            <w:tcBorders>
              <w:bottom w:val="single" w:sz="12" w:space="0" w:color="0F243E" w:themeColor="text2" w:themeShade="80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65" w:type="dxa"/>
            <w:tcBorders>
              <w:bottom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7.360.946 </w:t>
            </w:r>
          </w:p>
        </w:tc>
        <w:tc>
          <w:tcPr>
            <w:tcW w:w="1365" w:type="dxa"/>
            <w:tcBorders>
              <w:bottom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9.213.925 </w:t>
            </w:r>
          </w:p>
        </w:tc>
        <w:tc>
          <w:tcPr>
            <w:tcW w:w="711" w:type="dxa"/>
            <w:tcBorders>
              <w:top w:val="nil"/>
              <w:bottom w:val="single" w:sz="12" w:space="0" w:color="0F243E" w:themeColor="text2" w:themeShade="80"/>
              <w:right w:val="nil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</w:t>
            </w: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1E67E2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4.568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28.859 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29.989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5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18.324.399 </w:t>
            </w:r>
          </w:p>
        </w:tc>
        <w:tc>
          <w:tcPr>
            <w:tcW w:w="1365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</w:tcBorders>
            <w:shd w:val="clear" w:color="auto" w:fill="DBE5F1" w:themeFill="accent1" w:themeFillTint="33"/>
            <w:noWrap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20.015.592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:rsidR="00D27BB0" w:rsidRPr="00E31B6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31B6A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</w:t>
            </w: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single" w:sz="12" w:space="0" w:color="0F243E" w:themeColor="text2" w:themeShade="80"/>
              <w:bottom w:val="nil"/>
            </w:tcBorders>
            <w:shd w:val="clear" w:color="000000" w:fill="DCE6F1"/>
            <w:noWrap/>
            <w:vAlign w:val="center"/>
          </w:tcPr>
          <w:p w:rsidR="00D27BB0" w:rsidRPr="001E67E2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Vrgorac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80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1.830 </w:t>
            </w:r>
          </w:p>
        </w:tc>
        <w:tc>
          <w:tcPr>
            <w:tcW w:w="1194" w:type="dxa"/>
            <w:tcBorders>
              <w:top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1.809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365" w:type="dxa"/>
            <w:tcBorders>
              <w:top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1.473.994 </w:t>
            </w:r>
          </w:p>
        </w:tc>
        <w:tc>
          <w:tcPr>
            <w:tcW w:w="1365" w:type="dxa"/>
            <w:tcBorders>
              <w:top w:val="single" w:sz="12" w:space="0" w:color="0F243E" w:themeColor="text2" w:themeShade="80"/>
            </w:tcBorders>
            <w:shd w:val="clear" w:color="auto" w:fill="auto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1.481.774 </w:t>
            </w:r>
          </w:p>
        </w:tc>
        <w:tc>
          <w:tcPr>
            <w:tcW w:w="711" w:type="dxa"/>
            <w:tcBorders>
              <w:top w:val="single" w:sz="12" w:space="0" w:color="0F243E" w:themeColor="text2" w:themeShade="80"/>
              <w:bottom w:val="nil"/>
              <w:right w:val="nil"/>
            </w:tcBorders>
            <w:vAlign w:val="center"/>
          </w:tcPr>
          <w:p w:rsidR="00D27BB0" w:rsidRPr="00DE4AED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</w:t>
            </w:r>
          </w:p>
        </w:tc>
      </w:tr>
      <w:tr w:rsidR="00D27BB0" w:rsidRPr="006F25A6" w:rsidTr="00D27BB0">
        <w:trPr>
          <w:trHeight w:val="255"/>
          <w:jc w:val="center"/>
        </w:trPr>
        <w:tc>
          <w:tcPr>
            <w:tcW w:w="1307" w:type="dxa"/>
            <w:tcBorders>
              <w:top w:val="nil"/>
            </w:tcBorders>
            <w:shd w:val="clear" w:color="auto" w:fill="D9D9D9" w:themeFill="background1" w:themeFillShade="D9"/>
            <w:noWrap/>
            <w:vAlign w:val="center"/>
          </w:tcPr>
          <w:p w:rsidR="00D27BB0" w:rsidRPr="00F77F7B" w:rsidRDefault="00D27BB0" w:rsidP="00C2090F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9.540 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D27BB0" w:rsidRPr="00D7057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58.772 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61.924 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D27BB0" w:rsidRPr="00D7057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35.093.731 </w:t>
            </w:r>
          </w:p>
        </w:tc>
        <w:tc>
          <w:tcPr>
            <w:tcW w:w="1365" w:type="dxa"/>
            <w:shd w:val="clear" w:color="auto" w:fill="D9D9D9" w:themeFill="background1" w:themeFillShade="D9"/>
            <w:noWrap/>
            <w:vAlign w:val="center"/>
          </w:tcPr>
          <w:p w:rsidR="00D27BB0" w:rsidRPr="00D44DBE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44DBE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39.564.717 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27BB0" w:rsidRPr="00D7057A" w:rsidRDefault="00D27BB0" w:rsidP="00C20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</w:p>
        </w:tc>
      </w:tr>
    </w:tbl>
    <w:p w:rsidR="00D27BB0" w:rsidRPr="004946AC" w:rsidRDefault="00D27BB0" w:rsidP="00D27BB0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440BEC" w:rsidRDefault="009612AA" w:rsidP="00D27BB0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četiri od pet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75554"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pametnih gradova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su </w:t>
      </w:r>
      <w:r w:rsidR="00E75554"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</w:t>
      </w:r>
      <w:r w:rsidR="00E75554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pozitivan konsolidirani financijski rezultat, a najveći je ostvaren u 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>Rijeci</w:t>
      </w:r>
      <w:r w:rsidR="00E75554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>817</w:t>
      </w:r>
      <w:r w:rsidR="00E75554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. J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edino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su poduzetnici sa sjedištem u 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>Pul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negativan konsolidirani financijski rezultat u iznosu od 1,6 milijarde kuna. Na ovaj rezultat najveći je utjecaj imao </w:t>
      </w:r>
      <w:hyperlink r:id="rId8" w:history="1">
        <w:r w:rsidR="00D27BB0" w:rsidRPr="00933A3E">
          <w:rPr>
            <w:rStyle w:val="Hiperveza"/>
            <w:rFonts w:ascii="Arial" w:hAnsi="Arial" w:cs="Arial"/>
            <w:sz w:val="20"/>
            <w:szCs w:val="20"/>
          </w:rPr>
          <w:t>ULJANIK</w:t>
        </w:r>
        <w:r w:rsidR="008311A3" w:rsidRPr="00933A3E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="00D27BB0" w:rsidRPr="00933A3E">
          <w:rPr>
            <w:rStyle w:val="Hiperveza"/>
            <w:rFonts w:ascii="Arial" w:hAnsi="Arial" w:cs="Arial"/>
            <w:sz w:val="20"/>
            <w:szCs w:val="20"/>
          </w:rPr>
          <w:t>B</w:t>
        </w:r>
        <w:r w:rsidR="008311A3" w:rsidRPr="00933A3E">
          <w:rPr>
            <w:rStyle w:val="Hiperveza"/>
            <w:rFonts w:ascii="Arial" w:hAnsi="Arial" w:cs="Arial"/>
            <w:sz w:val="20"/>
            <w:szCs w:val="20"/>
          </w:rPr>
          <w:t>rodogradilište</w:t>
        </w:r>
        <w:r w:rsidR="00933A3E" w:rsidRPr="00933A3E">
          <w:rPr>
            <w:rStyle w:val="Hiperveza"/>
            <w:rFonts w:ascii="Arial" w:hAnsi="Arial" w:cs="Arial"/>
            <w:sz w:val="20"/>
            <w:szCs w:val="20"/>
          </w:rPr>
          <w:t xml:space="preserve"> d.d.</w:t>
        </w:r>
      </w:hyperlink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koj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8311A3" w:rsidRPr="006D05C9">
        <w:rPr>
          <w:rFonts w:ascii="Arial" w:hAnsi="Arial" w:cs="Arial"/>
          <w:color w:val="244061" w:themeColor="accent1" w:themeShade="80"/>
          <w:sz w:val="20"/>
          <w:szCs w:val="20"/>
        </w:rPr>
        <w:t xml:space="preserve"> je iskazalo </w:t>
      </w:r>
      <w:r w:rsidR="006D05C9" w:rsidRPr="006D05C9">
        <w:rPr>
          <w:rFonts w:ascii="Arial" w:hAnsi="Arial" w:cs="Arial"/>
          <w:color w:val="244061" w:themeColor="accent1" w:themeShade="80"/>
          <w:sz w:val="20"/>
          <w:szCs w:val="20"/>
        </w:rPr>
        <w:t>gubitak u iznosu od 1,2 milijarde kuna</w:t>
      </w:r>
      <w:r w:rsidR="00D44DB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8311A3" w:rsidRPr="00D44D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Pretežita djelatnost društva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j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e 30.11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- 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Gradnja brodova i plutajućih objekata, a prosječna plaća </w:t>
      </w:r>
      <w:r w:rsidR="00350E78">
        <w:rPr>
          <w:rFonts w:ascii="Arial" w:hAnsi="Arial" w:cs="Arial"/>
          <w:color w:val="244061" w:themeColor="accent1" w:themeShade="80"/>
          <w:sz w:val="20"/>
          <w:szCs w:val="20"/>
        </w:rPr>
        <w:t>1797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iznosi </w:t>
      </w:r>
      <w:r w:rsidR="00350E78">
        <w:rPr>
          <w:rFonts w:ascii="Arial" w:hAnsi="Arial" w:cs="Arial"/>
          <w:color w:val="244061" w:themeColor="accent1" w:themeShade="80"/>
          <w:sz w:val="20"/>
          <w:szCs w:val="20"/>
        </w:rPr>
        <w:t>6.459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, što je za 20,2 % više od prosječne plaće zaposlenih kod poduzetnika na razini RH (5.372 kune)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44DBE" w:rsidRPr="00D44DBE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E75554" w:rsidRPr="00D44DBE">
        <w:rPr>
          <w:rFonts w:ascii="Arial" w:hAnsi="Arial" w:cs="Arial"/>
          <w:color w:val="244061" w:themeColor="accent1" w:themeShade="80"/>
          <w:sz w:val="20"/>
          <w:szCs w:val="20"/>
        </w:rPr>
        <w:t xml:space="preserve">ajmanju neto dobit ostvarili poduzetnici sa sjedištem u </w:t>
      </w:r>
      <w:r w:rsidR="00D44DBE" w:rsidRPr="00D44DBE">
        <w:rPr>
          <w:rFonts w:ascii="Arial" w:hAnsi="Arial" w:cs="Arial"/>
          <w:color w:val="244061" w:themeColor="accent1" w:themeShade="80"/>
          <w:sz w:val="20"/>
          <w:szCs w:val="20"/>
        </w:rPr>
        <w:t>Vrgorcu u iznosu od</w:t>
      </w:r>
      <w:r w:rsidR="00F77F7B" w:rsidRPr="00D44D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44DBE" w:rsidRPr="00D44DBE">
        <w:rPr>
          <w:rFonts w:ascii="Arial" w:hAnsi="Arial" w:cs="Arial"/>
          <w:color w:val="244061" w:themeColor="accent1" w:themeShade="80"/>
          <w:sz w:val="20"/>
          <w:szCs w:val="20"/>
        </w:rPr>
        <w:t>6,3</w:t>
      </w:r>
      <w:r w:rsidR="00F77F7B" w:rsidRPr="00D44DBE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kuna. </w:t>
      </w:r>
    </w:p>
    <w:p w:rsidR="006E1F50" w:rsidRPr="00EB25C8" w:rsidRDefault="006E1F50" w:rsidP="00D27BB0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>Prema produktivnosti</w:t>
      </w:r>
      <w:r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(prihodu po zaposlenom), prv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i su </w:t>
      </w:r>
      <w:r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Vrgorcu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819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="006C5A3B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</w:t>
      </w:r>
      <w:r w:rsidR="006C5A3B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ih 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Rije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ci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s 6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67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="004324C3" w:rsidRPr="00EB25C8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ul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4324C3" w:rsidRPr="00EB25C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28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</w:t>
      </w:r>
      <w:r w:rsidR="006C5A3B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Poreča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60</w:t>
      </w:r>
      <w:r w:rsidR="004324C3" w:rsidRPr="00EB25C8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1C0D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kod poduzetnika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Bjelovar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21C0D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produktivnost bila najmanja i iznosila je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530</w:t>
      </w:r>
      <w:r w:rsidR="00B21C0D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70DD3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Za usporedbu, produktivnost rada mjerena prihodom po zaposlenom u 201</w:t>
      </w:r>
      <w:r w:rsidR="000F2066" w:rsidRPr="00EB25C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70DD3" w:rsidRPr="00EB25C8">
        <w:rPr>
          <w:rFonts w:ascii="Arial" w:hAnsi="Arial" w:cs="Arial"/>
          <w:color w:val="244061" w:themeColor="accent1" w:themeShade="80"/>
          <w:sz w:val="20"/>
          <w:szCs w:val="20"/>
        </w:rPr>
        <w:t>. godini, na razini RH je iznosila 7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68</w:t>
      </w:r>
      <w:r w:rsidR="00B43EE7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43EE7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0DD3" w:rsidRPr="00EB25C8">
        <w:rPr>
          <w:rFonts w:ascii="Arial" w:hAnsi="Arial" w:cs="Arial"/>
          <w:color w:val="244061" w:themeColor="accent1" w:themeShade="80"/>
          <w:sz w:val="20"/>
          <w:szCs w:val="20"/>
        </w:rPr>
        <w:t>kun</w:t>
      </w:r>
      <w:r w:rsidR="004324C3" w:rsidRPr="00EB25C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, a od pet pametnih gradova samo poduzetnici sa sjedištem u Vrgorcu imaju veću produktivnost od navedenog prosjeka</w:t>
      </w:r>
      <w:r w:rsidR="00370DD3" w:rsidRPr="00EB25C8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0D37DF" w:rsidRPr="00847D74" w:rsidRDefault="000D37DF" w:rsidP="00297CC9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B25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Prema </w:t>
      </w:r>
      <w:r w:rsidR="00D24B75" w:rsidRPr="00EB25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prosječnom </w:t>
      </w:r>
      <w:r w:rsidRPr="00EB25C8">
        <w:rPr>
          <w:rFonts w:ascii="Arial" w:hAnsi="Arial" w:cs="Arial"/>
          <w:b/>
          <w:color w:val="244061" w:themeColor="accent1" w:themeShade="80"/>
          <w:sz w:val="20"/>
          <w:szCs w:val="20"/>
        </w:rPr>
        <w:t>broju zaposlenih</w:t>
      </w:r>
      <w:r w:rsidRPr="000F2066">
        <w:rPr>
          <w:rFonts w:ascii="Arial" w:hAnsi="Arial" w:cs="Arial"/>
          <w:color w:val="FF0000"/>
          <w:sz w:val="20"/>
          <w:szCs w:val="20"/>
        </w:rPr>
        <w:t xml:space="preserve"> </w:t>
      </w:r>
      <w:r w:rsidR="00370DD3"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prvi su poduzetnici sa sjedištem u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Vrgorcu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23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EB25C8" w:rsidRPr="00EB25C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EB25C8">
        <w:rPr>
          <w:rFonts w:ascii="Arial" w:hAnsi="Arial" w:cs="Arial"/>
          <w:color w:val="244061" w:themeColor="accent1" w:themeShade="80"/>
          <w:sz w:val="20"/>
          <w:szCs w:val="20"/>
        </w:rPr>
        <w:t xml:space="preserve"> po poduzetniku.</w:t>
      </w:r>
      <w:r w:rsidR="00B4291F" w:rsidRPr="000F2066">
        <w:rPr>
          <w:rFonts w:ascii="Arial" w:hAnsi="Arial" w:cs="Arial"/>
          <w:color w:val="FF0000"/>
          <w:sz w:val="20"/>
          <w:szCs w:val="20"/>
        </w:rPr>
        <w:t xml:space="preserve"> 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Ovaj pokazatelj rezultat je velikoga broja zaposlenih kod 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>društ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>va</w:t>
      </w:r>
      <w:r w:rsidR="00E75554"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9" w:history="1">
        <w:r w:rsidR="00847D74" w:rsidRPr="00933A3E">
          <w:rPr>
            <w:rStyle w:val="Hiperveza"/>
            <w:rFonts w:ascii="Arial" w:hAnsi="Arial" w:cs="Arial"/>
            <w:sz w:val="20"/>
            <w:szCs w:val="20"/>
          </w:rPr>
          <w:t>MESNA INDUSTRIJA BRAĆA PIVAC</w:t>
        </w:r>
        <w:r w:rsidRPr="00933A3E">
          <w:rPr>
            <w:rStyle w:val="Hiperveza"/>
            <w:rFonts w:ascii="Arial" w:hAnsi="Arial" w:cs="Arial"/>
            <w:sz w:val="20"/>
            <w:szCs w:val="20"/>
          </w:rPr>
          <w:t xml:space="preserve"> d.</w:t>
        </w:r>
        <w:r w:rsidR="00847D74" w:rsidRPr="00933A3E">
          <w:rPr>
            <w:rStyle w:val="Hiperveza"/>
            <w:rFonts w:ascii="Arial" w:hAnsi="Arial" w:cs="Arial"/>
            <w:sz w:val="20"/>
            <w:szCs w:val="20"/>
          </w:rPr>
          <w:t>o</w:t>
        </w:r>
        <w:r w:rsidR="001819DA" w:rsidRPr="00933A3E">
          <w:rPr>
            <w:rStyle w:val="Hiperveza"/>
            <w:rFonts w:ascii="Arial" w:hAnsi="Arial" w:cs="Arial"/>
            <w:sz w:val="20"/>
            <w:szCs w:val="20"/>
          </w:rPr>
          <w:t>.</w:t>
        </w:r>
        <w:r w:rsidR="00847D74" w:rsidRPr="00933A3E">
          <w:rPr>
            <w:rStyle w:val="Hiperveza"/>
            <w:rFonts w:ascii="Arial" w:hAnsi="Arial" w:cs="Arial"/>
            <w:sz w:val="20"/>
            <w:szCs w:val="20"/>
          </w:rPr>
          <w:t>o.</w:t>
        </w:r>
      </w:hyperlink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47D74" w:rsidRPr="00847D74">
        <w:rPr>
          <w:rFonts w:ascii="Arial" w:hAnsi="Arial" w:cs="Arial"/>
          <w:color w:val="244061" w:themeColor="accent1" w:themeShade="80"/>
          <w:sz w:val="20"/>
          <w:szCs w:val="20"/>
        </w:rPr>
        <w:t>1111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udio od </w:t>
      </w:r>
      <w:r w:rsidR="00847D74" w:rsidRPr="00847D74">
        <w:rPr>
          <w:rFonts w:ascii="Arial" w:hAnsi="Arial" w:cs="Arial"/>
          <w:color w:val="244061" w:themeColor="accent1" w:themeShade="80"/>
          <w:sz w:val="20"/>
          <w:szCs w:val="20"/>
        </w:rPr>
        <w:t>61</w:t>
      </w:r>
      <w:r w:rsidR="001819DA" w:rsidRPr="00847D74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847D74" w:rsidRPr="00847D7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542DE9"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u u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>kupno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broj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kod poduzetnika 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847D74" w:rsidRPr="00847D74">
        <w:rPr>
          <w:rFonts w:ascii="Arial" w:hAnsi="Arial" w:cs="Arial"/>
          <w:color w:val="244061" w:themeColor="accent1" w:themeShade="80"/>
          <w:sz w:val="20"/>
          <w:szCs w:val="20"/>
        </w:rPr>
        <w:t>Vrgorc</w:t>
      </w:r>
      <w:r w:rsidR="00297CC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847D74" w:rsidRPr="00847D74">
        <w:rPr>
          <w:rFonts w:ascii="Arial" w:hAnsi="Arial" w:cs="Arial"/>
          <w:color w:val="244061" w:themeColor="accent1" w:themeShade="80"/>
          <w:sz w:val="20"/>
          <w:szCs w:val="20"/>
        </w:rPr>
        <w:t>1809</w:t>
      </w:r>
      <w:r w:rsidR="00B4291F" w:rsidRPr="00847D74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847D74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933A3E" w:rsidRPr="00933A3E">
        <w:t xml:space="preserve"> 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 xml:space="preserve">Pretežita djelatnost društva je 10.11 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 xml:space="preserve">- </w:t>
      </w:r>
      <w:r w:rsidR="00933A3E" w:rsidRPr="00933A3E">
        <w:rPr>
          <w:rFonts w:ascii="Arial" w:hAnsi="Arial" w:cs="Arial"/>
          <w:color w:val="244061" w:themeColor="accent1" w:themeShade="80"/>
          <w:sz w:val="20"/>
          <w:szCs w:val="20"/>
        </w:rPr>
        <w:t>Prerada i konzerviranje mesa</w:t>
      </w:r>
      <w:r w:rsidR="00933A3E">
        <w:rPr>
          <w:rFonts w:ascii="Arial" w:hAnsi="Arial" w:cs="Arial"/>
          <w:color w:val="244061" w:themeColor="accent1" w:themeShade="80"/>
          <w:sz w:val="20"/>
          <w:szCs w:val="20"/>
        </w:rPr>
        <w:t>, a prosječna plaća zaposlenih iznosi 4.580 kuna.</w:t>
      </w:r>
    </w:p>
    <w:p w:rsidR="00D56028" w:rsidRPr="0017712A" w:rsidRDefault="00D56028" w:rsidP="00297CC9">
      <w:pPr>
        <w:tabs>
          <w:tab w:val="left" w:pos="567"/>
          <w:tab w:val="left" w:pos="1134"/>
        </w:tabs>
        <w:spacing w:before="180" w:after="40" w:line="240" w:lineRule="auto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5F6975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81174D">
        <w:rPr>
          <w:rFonts w:ascii="Arial" w:hAnsi="Arial" w:cs="Arial"/>
          <w:b/>
          <w:color w:val="244061" w:themeColor="accent1" w:themeShade="80"/>
          <w:sz w:val="18"/>
          <w:szCs w:val="18"/>
        </w:rPr>
        <w:t>u 201</w:t>
      </w:r>
      <w:r w:rsidR="000F2066">
        <w:rPr>
          <w:rFonts w:ascii="Arial" w:hAnsi="Arial" w:cs="Arial"/>
          <w:b/>
          <w:color w:val="244061" w:themeColor="accent1" w:themeShade="80"/>
          <w:sz w:val="18"/>
          <w:szCs w:val="18"/>
        </w:rPr>
        <w:t>7</w:t>
      </w:r>
      <w:r w:rsidR="0081174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. godini sa sjedištem na </w:t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području </w:t>
      </w:r>
      <w:r w:rsidR="000F2066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r w:rsidR="005F6975"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pametnih gradova</w:t>
      </w: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907"/>
        <w:gridCol w:w="1047"/>
        <w:gridCol w:w="1020"/>
        <w:gridCol w:w="907"/>
        <w:gridCol w:w="910"/>
        <w:gridCol w:w="879"/>
      </w:tblGrid>
      <w:tr w:rsidR="006C5A3B" w:rsidRPr="006C5A3B" w:rsidTr="00297CC9">
        <w:trPr>
          <w:trHeight w:val="283"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6C5A3B" w:rsidRPr="004946AC" w:rsidRDefault="006C5A3B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7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C5A3B" w:rsidRPr="006C5A3B" w:rsidRDefault="000F2066" w:rsidP="00984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  <w:r w:rsidR="006C5A3B" w:rsidRPr="006C5A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pametnih gradova</w:t>
            </w:r>
          </w:p>
        </w:tc>
        <w:tc>
          <w:tcPr>
            <w:tcW w:w="87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6C5A3B" w:rsidRDefault="006C5A3B" w:rsidP="006C5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593135" w:rsidRPr="006C5A3B" w:rsidTr="00297CC9">
        <w:trPr>
          <w:trHeight w:val="283"/>
          <w:jc w:val="center"/>
        </w:trPr>
        <w:tc>
          <w:tcPr>
            <w:tcW w:w="4082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:rsidR="00593135" w:rsidRPr="004946AC" w:rsidRDefault="00593135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93135" w:rsidRPr="004946AC" w:rsidRDefault="00593135" w:rsidP="00C26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Bjelovar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93135" w:rsidRPr="004946AC" w:rsidRDefault="00593135" w:rsidP="00C26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Poreč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93135" w:rsidRPr="004946AC" w:rsidRDefault="00593135" w:rsidP="00C26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Pula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93135" w:rsidRPr="004946AC" w:rsidRDefault="00593135" w:rsidP="00C26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93135" w:rsidRPr="004946AC" w:rsidRDefault="00593135" w:rsidP="00C26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Vrgorac</w:t>
            </w:r>
          </w:p>
        </w:tc>
        <w:tc>
          <w:tcPr>
            <w:tcW w:w="87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</w:tcPr>
          <w:p w:rsidR="00593135" w:rsidRDefault="00593135" w:rsidP="006F2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465E54" w:rsidRPr="006C5A3B" w:rsidTr="00297CC9">
        <w:trPr>
          <w:trHeight w:val="285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5E54" w:rsidRPr="004F7B3C" w:rsidRDefault="00465E54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465E54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5E5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 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465E54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5E5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465E54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5E5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465E54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5E5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 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465E54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65E5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65E54" w:rsidRPr="00EF2D9B" w:rsidRDefault="00465E54" w:rsidP="00465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 </w:t>
            </w:r>
          </w:p>
        </w:tc>
      </w:tr>
      <w:tr w:rsidR="00465E54" w:rsidRPr="006C5A3B" w:rsidTr="00297CC9">
        <w:trPr>
          <w:trHeight w:val="283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5E54" w:rsidRPr="004F7B3C" w:rsidRDefault="00465E54" w:rsidP="006C5A3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n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4" w:space="0" w:color="D9D9D9" w:themeColor="background1" w:themeShade="D9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530 </w:t>
            </w:r>
          </w:p>
        </w:tc>
        <w:tc>
          <w:tcPr>
            <w:tcW w:w="10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609 </w:t>
            </w:r>
          </w:p>
        </w:tc>
        <w:tc>
          <w:tcPr>
            <w:tcW w:w="10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628 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667 </w:t>
            </w:r>
          </w:p>
        </w:tc>
        <w:tc>
          <w:tcPr>
            <w:tcW w:w="9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819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65E54" w:rsidRPr="00EF2D9B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768 </w:t>
            </w:r>
          </w:p>
        </w:tc>
      </w:tr>
      <w:tr w:rsidR="00465E54" w:rsidRPr="006C5A3B" w:rsidTr="00297CC9">
        <w:trPr>
          <w:trHeight w:val="454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5E54" w:rsidRPr="004F7B3C" w:rsidRDefault="00465E54" w:rsidP="007B76F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razdoblja po zaposlenom u 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unama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4" w:space="0" w:color="D9D9D9" w:themeColor="background1" w:themeShade="D9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0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0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-111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9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5E54" w:rsidRPr="003A4BE3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A4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65E54" w:rsidRPr="00EF2D9B" w:rsidRDefault="00465E54" w:rsidP="003A4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25</w:t>
            </w:r>
          </w:p>
        </w:tc>
      </w:tr>
      <w:tr w:rsidR="002324E7" w:rsidRPr="006C5A3B" w:rsidTr="00297CC9">
        <w:trPr>
          <w:trHeight w:val="285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2324E7" w:rsidRPr="004F7B3C" w:rsidRDefault="002324E7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oeficijent trenutne likvidnosti (u %)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4" w:space="0" w:color="D9D9D9" w:themeColor="background1" w:themeShade="D9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10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0,25</w:t>
            </w:r>
          </w:p>
        </w:tc>
        <w:tc>
          <w:tcPr>
            <w:tcW w:w="10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0,17</w:t>
            </w:r>
          </w:p>
        </w:tc>
        <w:tc>
          <w:tcPr>
            <w:tcW w:w="9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0,05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324E7" w:rsidRPr="00EF2D9B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0,16</w:t>
            </w:r>
          </w:p>
        </w:tc>
      </w:tr>
      <w:tr w:rsidR="002324E7" w:rsidRPr="006C5A3B" w:rsidTr="00297CC9">
        <w:trPr>
          <w:trHeight w:val="285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2324E7" w:rsidRPr="006C39DD" w:rsidRDefault="002324E7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(u %)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0,98</w:t>
            </w:r>
          </w:p>
        </w:tc>
        <w:tc>
          <w:tcPr>
            <w:tcW w:w="10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0,95</w:t>
            </w:r>
          </w:p>
        </w:tc>
        <w:tc>
          <w:tcPr>
            <w:tcW w:w="10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9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0,94</w:t>
            </w:r>
          </w:p>
        </w:tc>
        <w:tc>
          <w:tcPr>
            <w:tcW w:w="9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2324E7" w:rsidRPr="002324E7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324E7" w:rsidRPr="00EF2D9B" w:rsidRDefault="002324E7" w:rsidP="002324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1,00</w:t>
            </w:r>
          </w:p>
        </w:tc>
      </w:tr>
      <w:tr w:rsidR="00C75F52" w:rsidRPr="006C5A3B" w:rsidTr="00297CC9">
        <w:trPr>
          <w:trHeight w:val="285"/>
          <w:jc w:val="center"/>
        </w:trPr>
        <w:tc>
          <w:tcPr>
            <w:tcW w:w="40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C75F52" w:rsidRPr="009E63C0" w:rsidRDefault="00C75F52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Rentabilnost vlastitog kapitala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(u %)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75F52" w:rsidRPr="00C75F52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9,68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75F52" w:rsidRPr="00C75F52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8,40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75F52" w:rsidRPr="00C75F52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-57,34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75F52" w:rsidRPr="00C75F52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9,75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75F52" w:rsidRPr="00C75F52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75F5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3,54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75F52" w:rsidRPr="00EF2D9B" w:rsidRDefault="00C75F52" w:rsidP="00C75F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4,90</w:t>
            </w:r>
          </w:p>
        </w:tc>
      </w:tr>
    </w:tbl>
    <w:p w:rsidR="00D56028" w:rsidRPr="004946AC" w:rsidRDefault="00D56028" w:rsidP="00D56028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AC4807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553A21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E659D" w:rsidRPr="002324E7" w:rsidRDefault="00370DD3" w:rsidP="00297CC9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Među gradovima čiji su poduzetnici predmetom usporedbe</w:t>
      </w:r>
      <w:r w:rsidR="0064022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>najveć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</w:t>
      </w:r>
      <w:r w:rsidR="002B6B06" w:rsidRPr="00AE0109">
        <w:rPr>
          <w:rFonts w:ascii="Arial" w:hAnsi="Arial" w:cs="Arial"/>
          <w:color w:val="244061" w:themeColor="accent1" w:themeShade="80"/>
          <w:sz w:val="20"/>
          <w:szCs w:val="20"/>
        </w:rPr>
        <w:t>rada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B6B06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>mjeren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prihodom po zaposlenom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 xml:space="preserve">, ostvarili su poduzetnici sa sjedištem u </w:t>
      </w:r>
      <w:r w:rsidR="00A7683C" w:rsidRPr="002324E7">
        <w:rPr>
          <w:rFonts w:ascii="Arial" w:hAnsi="Arial" w:cs="Arial"/>
          <w:color w:val="244061" w:themeColor="accent1" w:themeShade="80"/>
          <w:sz w:val="20"/>
          <w:szCs w:val="20"/>
        </w:rPr>
        <w:t>Vrgorcu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A7683C" w:rsidRPr="002324E7">
        <w:rPr>
          <w:rFonts w:ascii="Arial" w:hAnsi="Arial" w:cs="Arial"/>
          <w:color w:val="244061" w:themeColor="accent1" w:themeShade="80"/>
          <w:sz w:val="20"/>
          <w:szCs w:val="20"/>
        </w:rPr>
        <w:t>819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A7683C" w:rsidRPr="002324E7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</w:t>
      </w:r>
      <w:r w:rsidR="005F6975" w:rsidRPr="002324E7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Poreča iskazali su najveću produktivnost rada mjerenu dobitkom razdoblja po zaposlenom (</w:t>
      </w:r>
      <w:r w:rsidR="00A7683C" w:rsidRPr="002324E7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3 tisuće kuna), dok su poduzetnici </w:t>
      </w:r>
      <w:r w:rsidR="002324E7" w:rsidRPr="002324E7">
        <w:rPr>
          <w:rFonts w:ascii="Arial" w:hAnsi="Arial" w:cs="Arial"/>
          <w:color w:val="244061" w:themeColor="accent1" w:themeShade="80"/>
          <w:sz w:val="20"/>
          <w:szCs w:val="20"/>
        </w:rPr>
        <w:t>Bjelovara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C701A" w:rsidRPr="002324E7">
        <w:rPr>
          <w:rFonts w:ascii="Arial" w:hAnsi="Arial" w:cs="Arial"/>
          <w:color w:val="244061" w:themeColor="accent1" w:themeShade="80"/>
          <w:sz w:val="20"/>
          <w:szCs w:val="20"/>
        </w:rPr>
        <w:t>imali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najbolju financijsku stabilnost</w:t>
      </w:r>
      <w:r w:rsidR="003C701A" w:rsidRPr="002324E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mjerenu koeficijentom financijske stabilnosti (0,</w:t>
      </w:r>
      <w:r w:rsidR="002324E7" w:rsidRPr="002324E7">
        <w:rPr>
          <w:rFonts w:ascii="Arial" w:hAnsi="Arial" w:cs="Arial"/>
          <w:color w:val="244061" w:themeColor="accent1" w:themeShade="80"/>
          <w:sz w:val="20"/>
          <w:szCs w:val="20"/>
        </w:rPr>
        <w:t>98</w:t>
      </w:r>
      <w:r w:rsidR="00AE0109" w:rsidRPr="002324E7">
        <w:rPr>
          <w:rFonts w:ascii="Arial" w:hAnsi="Arial" w:cs="Arial"/>
          <w:color w:val="244061" w:themeColor="accent1" w:themeShade="80"/>
          <w:sz w:val="20"/>
          <w:szCs w:val="20"/>
        </w:rPr>
        <w:t xml:space="preserve"> %).</w:t>
      </w:r>
    </w:p>
    <w:p w:rsidR="005E659D" w:rsidRDefault="005E659D" w:rsidP="00297CC9">
      <w:pPr>
        <w:widowControl w:val="0"/>
        <w:tabs>
          <w:tab w:val="left" w:pos="1134"/>
          <w:tab w:val="left" w:pos="7655"/>
          <w:tab w:val="left" w:pos="8080"/>
        </w:tabs>
        <w:spacing w:before="180" w:after="40" w:line="240" w:lineRule="auto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D644E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Pokazatelji uspješnosti poslovanja</w:t>
      </w:r>
      <w:r w:rsidR="00AC4807"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6C09B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D644E7"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pametnih gradova u RH</w:t>
      </w:r>
    </w:p>
    <w:tbl>
      <w:tblPr>
        <w:tblW w:w="97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907"/>
        <w:gridCol w:w="964"/>
        <w:gridCol w:w="964"/>
        <w:gridCol w:w="907"/>
        <w:gridCol w:w="907"/>
        <w:gridCol w:w="964"/>
        <w:gridCol w:w="964"/>
        <w:gridCol w:w="1049"/>
        <w:gridCol w:w="1049"/>
      </w:tblGrid>
      <w:tr w:rsidR="005E659D" w:rsidRPr="00BB6B67" w:rsidTr="00297CC9">
        <w:trPr>
          <w:trHeight w:val="624"/>
          <w:jc w:val="center"/>
        </w:trPr>
        <w:tc>
          <w:tcPr>
            <w:tcW w:w="1956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2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ukupnog poslovanja, 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14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BB6B67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Rentabilnost prometa neto, </w:t>
            </w:r>
          </w:p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, </w:t>
            </w:r>
          </w:p>
          <w:p w:rsidR="005E659D" w:rsidRPr="007D3434" w:rsidRDefault="000B365A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u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</w:p>
        </w:tc>
        <w:tc>
          <w:tcPr>
            <w:tcW w:w="209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, </w:t>
            </w:r>
          </w:p>
          <w:p w:rsidR="005E659D" w:rsidRPr="007D3434" w:rsidRDefault="000B365A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</w:p>
        </w:tc>
      </w:tr>
      <w:tr w:rsidR="005E659D" w:rsidRPr="00BB6B67" w:rsidTr="0081174D">
        <w:trPr>
          <w:trHeight w:val="624"/>
          <w:jc w:val="center"/>
        </w:trPr>
        <w:tc>
          <w:tcPr>
            <w:tcW w:w="1049" w:type="dxa"/>
            <w:vMerge w:val="restart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3434" w:rsidRDefault="002C0FF8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Pametni gradovi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</w:t>
            </w:r>
            <w:r w:rsidR="006C5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et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8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(dobit ili gubitak razdoblja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ukupna aktiva)*100) </w:t>
            </w:r>
          </w:p>
        </w:tc>
        <w:tc>
          <w:tcPr>
            <w:tcW w:w="209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(kapital i rezerve + rezerviranja)) *100) </w:t>
            </w:r>
          </w:p>
        </w:tc>
      </w:tr>
      <w:tr w:rsidR="006C09BF" w:rsidRPr="00BB6B67" w:rsidTr="0081174D">
        <w:trPr>
          <w:trHeight w:val="283"/>
          <w:jc w:val="center"/>
        </w:trPr>
        <w:tc>
          <w:tcPr>
            <w:tcW w:w="1049" w:type="dxa"/>
            <w:vMerge/>
            <w:tcBorders>
              <w:bottom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6C09BF" w:rsidRPr="007D3434" w:rsidRDefault="006C09BF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6C09BF" w:rsidRPr="007D3434" w:rsidRDefault="006C09BF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6C09BF" w:rsidRPr="007D0A08" w:rsidRDefault="006C09BF" w:rsidP="006C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6C09BF" w:rsidRPr="007D0A08" w:rsidRDefault="006C09BF" w:rsidP="006C0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49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49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6C09BF" w:rsidRPr="007D0A08" w:rsidRDefault="006C09BF" w:rsidP="00C642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3A2D3C" w:rsidRPr="00BB6B67" w:rsidTr="003A2D3C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2D3C" w:rsidRPr="001E67E2" w:rsidRDefault="003A2D3C" w:rsidP="00C64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898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102,57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103,94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1,79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3,05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1,62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2,81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5,77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9,68</w:t>
            </w:r>
          </w:p>
        </w:tc>
      </w:tr>
      <w:tr w:rsidR="003A2D3C" w:rsidRPr="00BB6B67" w:rsidTr="003A2D3C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2D3C" w:rsidRPr="001E67E2" w:rsidRDefault="003A2D3C" w:rsidP="00C64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1.305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111,23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110,50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10,83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8,72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3,80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9,63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8,40</w:t>
            </w:r>
          </w:p>
        </w:tc>
      </w:tr>
      <w:tr w:rsidR="003A2D3C" w:rsidRPr="00BB6B67" w:rsidTr="003A2D3C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2D3C" w:rsidRPr="001E67E2" w:rsidRDefault="003A2D3C" w:rsidP="00C64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2.689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97,34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85,66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-3,31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-17,65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-1,43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-9,71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-7,27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-57,34</w:t>
            </w:r>
          </w:p>
        </w:tc>
      </w:tr>
      <w:tr w:rsidR="003A2D3C" w:rsidRPr="00BB6B67" w:rsidTr="003A2D3C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2D3C" w:rsidRPr="001E67E2" w:rsidRDefault="003A2D3C" w:rsidP="00C64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4.568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105,47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105,33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4,28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4,08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3,40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3,52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10,61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9,75</w:t>
            </w:r>
          </w:p>
        </w:tc>
      </w:tr>
      <w:tr w:rsidR="003A2D3C" w:rsidRPr="00BB6B67" w:rsidTr="00EF2D9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2D3C" w:rsidRPr="001E67E2" w:rsidRDefault="003A2D3C" w:rsidP="00C64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Vrgorac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104,53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102,34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3,90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3,91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1,84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7,62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3,54</w:t>
            </w:r>
          </w:p>
        </w:tc>
      </w:tr>
      <w:tr w:rsidR="003A2D3C" w:rsidRPr="00BB6B67" w:rsidTr="00EF2D9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5A0F9E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9.540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103,99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100,33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-0,57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2,03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-0,40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6,48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2E2"/>
            <w:noWrap/>
            <w:vAlign w:val="center"/>
          </w:tcPr>
          <w:p w:rsidR="003A2D3C" w:rsidRPr="00EF2D9B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-1,23</w:t>
            </w:r>
          </w:p>
        </w:tc>
      </w:tr>
      <w:tr w:rsidR="003A2D3C" w:rsidRPr="00BB6B67" w:rsidTr="003A2D3C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A2D3C" w:rsidRPr="00EF2D9B" w:rsidRDefault="003A2D3C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F2D9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120.081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105,28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2324E7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2324E7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104,41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3,90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2,32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2,03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5,65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2D3C" w:rsidRPr="003A2D3C" w:rsidRDefault="003A2D3C" w:rsidP="003A2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A2D3C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4,90</w:t>
            </w:r>
          </w:p>
        </w:tc>
      </w:tr>
    </w:tbl>
    <w:p w:rsidR="005E659D" w:rsidRDefault="005E659D" w:rsidP="00440D39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6C09B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B4520B" w:rsidRPr="008B794A" w:rsidRDefault="00FE03A7" w:rsidP="00542BFC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Prema</w:t>
      </w:r>
      <w:r w:rsidR="003D0F9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B4520B"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>pokazatelj</w:t>
      </w: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im</w:t>
      </w:r>
      <w:r w:rsidR="00B4520B"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>a uspješnosti poslovanja</w:t>
      </w:r>
      <w:r w:rsidR="003D0F92">
        <w:rPr>
          <w:rFonts w:ascii="Arial" w:hAnsi="Arial" w:cs="Arial"/>
          <w:b/>
          <w:color w:val="244061" w:themeColor="accent1" w:themeShade="80"/>
          <w:sz w:val="20"/>
          <w:szCs w:val="20"/>
        </w:rPr>
        <w:t>,</w:t>
      </w:r>
      <w:r w:rsidR="00113744" w:rsidRPr="0011374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13744" w:rsidRPr="00FE03A7">
        <w:rPr>
          <w:rFonts w:ascii="Arial" w:hAnsi="Arial" w:cs="Arial"/>
          <w:color w:val="244061" w:themeColor="accent1" w:themeShade="80"/>
          <w:sz w:val="20"/>
          <w:szCs w:val="20"/>
        </w:rPr>
        <w:t>poduzetnici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C62E0" w:rsidRPr="00FE03A7">
        <w:rPr>
          <w:rFonts w:ascii="Arial" w:hAnsi="Arial" w:cs="Arial"/>
          <w:color w:val="244061" w:themeColor="accent1" w:themeShade="80"/>
          <w:sz w:val="20"/>
          <w:szCs w:val="20"/>
        </w:rPr>
        <w:t>Poreča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</w:t>
      </w:r>
      <w:r w:rsidR="00113744" w:rsidRPr="00FE03A7">
        <w:rPr>
          <w:rFonts w:ascii="Arial" w:hAnsi="Arial" w:cs="Arial"/>
          <w:color w:val="244061" w:themeColor="accent1" w:themeShade="80"/>
          <w:sz w:val="20"/>
          <w:szCs w:val="20"/>
        </w:rPr>
        <w:t>ali su viš</w:t>
      </w:r>
      <w:r w:rsidRPr="00FE03A7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5C2DB8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</w:t>
      </w:r>
      <w:r w:rsidR="003C701A" w:rsidRPr="00FE03A7">
        <w:rPr>
          <w:rFonts w:ascii="Arial" w:hAnsi="Arial" w:cs="Arial"/>
          <w:color w:val="244061" w:themeColor="accent1" w:themeShade="80"/>
          <w:sz w:val="20"/>
          <w:szCs w:val="20"/>
        </w:rPr>
        <w:t>poduzetnike drugih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pametn</w:t>
      </w:r>
      <w:r w:rsidR="003C701A" w:rsidRPr="00FE03A7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gradov</w:t>
      </w:r>
      <w:r w:rsidR="003C701A" w:rsidRPr="00FE03A7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D0F92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i to </w:t>
      </w:r>
      <w:r w:rsidRPr="00FE03A7">
        <w:rPr>
          <w:rFonts w:ascii="Arial" w:hAnsi="Arial" w:cs="Arial"/>
          <w:color w:val="244061" w:themeColor="accent1" w:themeShade="80"/>
          <w:sz w:val="20"/>
          <w:szCs w:val="20"/>
        </w:rPr>
        <w:t>prema</w:t>
      </w:r>
      <w:r w:rsidR="003C701A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pokazatelj</w:t>
      </w:r>
      <w:r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u ekonomičnosti ukupnog poslovanja 110,50 %, </w:t>
      </w:r>
      <w:r w:rsidR="00B4520B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rentabilnosti prometa (neto) </w:t>
      </w:r>
      <w:r w:rsidRPr="00FE03A7">
        <w:rPr>
          <w:rFonts w:ascii="Arial" w:hAnsi="Arial" w:cs="Arial"/>
          <w:color w:val="244061" w:themeColor="accent1" w:themeShade="80"/>
          <w:sz w:val="20"/>
          <w:szCs w:val="20"/>
        </w:rPr>
        <w:t>8,72</w:t>
      </w:r>
      <w:r w:rsidR="00542DE9"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Pr="00FE03A7">
        <w:rPr>
          <w:rFonts w:ascii="Arial" w:hAnsi="Arial" w:cs="Arial"/>
          <w:color w:val="244061" w:themeColor="accent1" w:themeShade="80"/>
          <w:sz w:val="20"/>
          <w:szCs w:val="20"/>
        </w:rPr>
        <w:t xml:space="preserve"> i rentabilnosti ukupne imovine (neto) 3,80 %</w:t>
      </w:r>
      <w:r w:rsidR="006C62E0" w:rsidRPr="00FE03A7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6C62E0" w:rsidRPr="006C09BF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4A" w:rsidRPr="008B794A">
        <w:rPr>
          <w:rFonts w:ascii="Arial" w:hAnsi="Arial" w:cs="Arial"/>
          <w:color w:val="244061" w:themeColor="accent1" w:themeShade="80"/>
          <w:sz w:val="20"/>
          <w:szCs w:val="20"/>
        </w:rPr>
        <w:t>Prema pokazatelju</w:t>
      </w:r>
      <w:r w:rsidR="006C62E0" w:rsidRP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 rentabilnosti vlastitog kapitala najviše </w:t>
      </w:r>
      <w:r w:rsidR="003D0F92" w:rsidRP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6C62E0" w:rsidRPr="008B794A">
        <w:rPr>
          <w:rFonts w:ascii="Arial" w:hAnsi="Arial" w:cs="Arial"/>
          <w:color w:val="244061" w:themeColor="accent1" w:themeShade="80"/>
          <w:sz w:val="20"/>
          <w:szCs w:val="20"/>
        </w:rPr>
        <w:t>vrijednosti iskaza</w:t>
      </w:r>
      <w:r w:rsidR="003D0F92" w:rsidRPr="008B794A">
        <w:rPr>
          <w:rFonts w:ascii="Arial" w:hAnsi="Arial" w:cs="Arial"/>
          <w:color w:val="244061" w:themeColor="accent1" w:themeShade="80"/>
          <w:sz w:val="20"/>
          <w:szCs w:val="20"/>
        </w:rPr>
        <w:t>li poduzetnici</w:t>
      </w:r>
      <w:r w:rsidR="006C62E0" w:rsidRP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B794A" w:rsidRPr="008B794A">
        <w:rPr>
          <w:rFonts w:ascii="Arial" w:hAnsi="Arial" w:cs="Arial"/>
          <w:color w:val="244061" w:themeColor="accent1" w:themeShade="80"/>
          <w:sz w:val="20"/>
          <w:szCs w:val="20"/>
        </w:rPr>
        <w:t>Rijeke</w:t>
      </w:r>
      <w:r w:rsid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 (9,75 %)</w:t>
      </w:r>
      <w:r w:rsidR="008B794A" w:rsidRPr="008B794A">
        <w:rPr>
          <w:rFonts w:ascii="Arial" w:hAnsi="Arial" w:cs="Arial"/>
          <w:color w:val="244061" w:themeColor="accent1" w:themeShade="80"/>
          <w:sz w:val="20"/>
          <w:szCs w:val="20"/>
        </w:rPr>
        <w:t>, a najmanj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8B794A" w:rsidRP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Pule (-57,34 %)</w:t>
      </w:r>
      <w:r w:rsidR="006C62E0" w:rsidRPr="008B794A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01028D" w:rsidRPr="00BC3046" w:rsidRDefault="0001028D" w:rsidP="00297CC9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A429A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</w:t>
      </w:r>
      <w:r w:rsidRPr="00E75277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457593" w:rsidRPr="00E75277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E75277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457593" w:rsidRPr="00E75277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</w:t>
      </w:r>
      <w:r w:rsidR="006976B9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3D0F92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95662F" w:rsidRPr="00E75277">
        <w:rPr>
          <w:rFonts w:ascii="Arial" w:hAnsi="Arial" w:cs="Arial"/>
          <w:color w:val="244061" w:themeColor="accent1" w:themeShade="80"/>
          <w:sz w:val="20"/>
          <w:szCs w:val="20"/>
        </w:rPr>
        <w:t>Rijeci</w:t>
      </w:r>
      <w:r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75277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</w:t>
      </w:r>
      <w:r w:rsidR="00A718FA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95662F" w:rsidRPr="00E75277">
        <w:rPr>
          <w:rFonts w:ascii="Arial" w:hAnsi="Arial" w:cs="Arial"/>
          <w:color w:val="244061" w:themeColor="accent1" w:themeShade="80"/>
          <w:sz w:val="20"/>
          <w:szCs w:val="20"/>
        </w:rPr>
        <w:t>najveću novostvorenu vrijednost</w:t>
      </w:r>
      <w:r w:rsidR="00E75277" w:rsidRPr="00E75277">
        <w:rPr>
          <w:rFonts w:ascii="Arial" w:hAnsi="Arial" w:cs="Arial"/>
          <w:color w:val="244061" w:themeColor="accent1" w:themeShade="80"/>
          <w:sz w:val="20"/>
          <w:szCs w:val="20"/>
        </w:rPr>
        <w:t>, izuzev 2014. godine kada su poduzetnici Splita</w:t>
      </w:r>
      <w:r w:rsidR="0095662F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75277" w:rsidRPr="00E75277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najvišu novostvorenu vrijednost. 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U 2017. godini poduzetnici Rijeke iskazali su novostvorenu vrijednost </w:t>
      </w:r>
      <w:r w:rsidR="0095662F" w:rsidRPr="00BC3046">
        <w:rPr>
          <w:rFonts w:ascii="Arial" w:hAnsi="Arial" w:cs="Arial"/>
          <w:color w:val="244061" w:themeColor="accent1" w:themeShade="80"/>
          <w:sz w:val="20"/>
          <w:szCs w:val="20"/>
        </w:rPr>
        <w:t>u iznosu od 5,7 milijard</w:t>
      </w:r>
      <w:r w:rsidR="00D27BB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95662F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a </w:t>
      </w:r>
      <w:r w:rsidR="0064022B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najmanju </w:t>
      </w:r>
      <w:r w:rsidRPr="00BC3046">
        <w:rPr>
          <w:rFonts w:ascii="Arial" w:hAnsi="Arial" w:cs="Arial"/>
          <w:color w:val="244061" w:themeColor="accent1" w:themeShade="80"/>
          <w:sz w:val="20"/>
          <w:szCs w:val="20"/>
        </w:rPr>
        <w:t>novostvoren</w:t>
      </w:r>
      <w:r w:rsidR="00A718FA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BC3046">
        <w:rPr>
          <w:rFonts w:ascii="Arial" w:hAnsi="Arial" w:cs="Arial"/>
          <w:color w:val="244061" w:themeColor="accent1" w:themeShade="80"/>
          <w:sz w:val="20"/>
          <w:szCs w:val="20"/>
        </w:rPr>
        <w:t>vrijednost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podu</w:t>
      </w:r>
      <w:r w:rsidR="006976B9" w:rsidRPr="00BC3046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>etnici Vrgorca u iz</w:t>
      </w:r>
      <w:r w:rsidR="006976B9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nosu od 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>228,8</w:t>
      </w:r>
      <w:r w:rsidR="00A718FA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976B9" w:rsidRPr="00BC3046">
        <w:rPr>
          <w:rFonts w:ascii="Arial" w:hAnsi="Arial" w:cs="Arial"/>
          <w:color w:val="244061" w:themeColor="accent1" w:themeShade="80"/>
          <w:sz w:val="20"/>
          <w:szCs w:val="20"/>
        </w:rPr>
        <w:t>milij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una </w:t>
      </w:r>
      <w:r w:rsidR="006976B9" w:rsidRPr="00BC3046">
        <w:rPr>
          <w:rFonts w:ascii="Arial" w:hAnsi="Arial" w:cs="Arial"/>
          <w:color w:val="244061" w:themeColor="accent1" w:themeShade="80"/>
          <w:sz w:val="20"/>
          <w:szCs w:val="20"/>
        </w:rPr>
        <w:t>kuna.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Ukupno ostvarena novostvorena vrijednost </w:t>
      </w:r>
      <w:r w:rsidR="00B90E31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u 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svih </w:t>
      </w:r>
      <w:r w:rsidR="00B90E31" w:rsidRPr="00BC3046">
        <w:rPr>
          <w:rFonts w:ascii="Arial" w:hAnsi="Arial" w:cs="Arial"/>
          <w:color w:val="244061" w:themeColor="accent1" w:themeShade="80"/>
          <w:sz w:val="20"/>
          <w:szCs w:val="20"/>
        </w:rPr>
        <w:t>pet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pametnih gradova u 201</w:t>
      </w:r>
      <w:r w:rsidR="00E75277" w:rsidRPr="00BC304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0E64A9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 </w:t>
      </w:r>
      <w:r w:rsidR="00BC3046" w:rsidRPr="00BC3046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="00506AC4" w:rsidRPr="00BC304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BC3046" w:rsidRPr="00BC304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BC3046" w:rsidRPr="00BC304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što je udio od </w:t>
      </w:r>
      <w:r w:rsidR="00BC3046" w:rsidRPr="00BC3046">
        <w:rPr>
          <w:rFonts w:ascii="Arial" w:hAnsi="Arial" w:cs="Arial"/>
          <w:color w:val="244061" w:themeColor="accent1" w:themeShade="80"/>
          <w:sz w:val="20"/>
          <w:szCs w:val="20"/>
        </w:rPr>
        <w:t>5,8</w:t>
      </w:r>
      <w:r w:rsidR="00542DE9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ostvarenu novostvorenu vrijednost svih po</w:t>
      </w:r>
      <w:r w:rsidR="003D0F92" w:rsidRPr="00BC3046">
        <w:rPr>
          <w:rFonts w:ascii="Arial" w:hAnsi="Arial" w:cs="Arial"/>
          <w:color w:val="244061" w:themeColor="accent1" w:themeShade="80"/>
          <w:sz w:val="20"/>
          <w:szCs w:val="20"/>
        </w:rPr>
        <w:t>duzetnika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u RH</w:t>
      </w:r>
      <w:r w:rsidR="00506AC4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(173,</w:t>
      </w:r>
      <w:r w:rsidR="00BC3046" w:rsidRPr="00BC3046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506AC4" w:rsidRPr="00BC304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</w:t>
      </w:r>
      <w:r w:rsidR="009E39AC" w:rsidRPr="00BC304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379FC" w:rsidRPr="0017712A" w:rsidRDefault="00C379FC" w:rsidP="00D73566">
      <w:pPr>
        <w:widowControl w:val="0"/>
        <w:tabs>
          <w:tab w:val="left" w:pos="567"/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1</w:t>
      </w: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Novostvorena vrijednost u razdoblju od 201</w:t>
      </w:r>
      <w:r w:rsidR="0045759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- 201</w:t>
      </w:r>
      <w:r w:rsidR="0045759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godine u </w:t>
      </w:r>
      <w:r w:rsidR="0045759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pametnih gradova u RH</w:t>
      </w:r>
    </w:p>
    <w:p w:rsidR="00C379FC" w:rsidRDefault="00C379FC" w:rsidP="00D73566">
      <w:pPr>
        <w:tabs>
          <w:tab w:val="left" w:pos="1134"/>
          <w:tab w:val="left" w:pos="7655"/>
          <w:tab w:val="left" w:pos="8222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</w:t>
      </w:r>
      <w:r w:rsidR="00341200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milijunima</w:t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C379FC" w:rsidRPr="0091269B" w:rsidRDefault="008F0B3A" w:rsidP="005A0F9E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18"/>
          <w:szCs w:val="18"/>
          <w:lang w:eastAsia="hr-HR"/>
        </w:rPr>
        <w:drawing>
          <wp:inline distT="0" distB="0" distL="0" distR="0" wp14:anchorId="6D678CA4" wp14:editId="388B6272">
            <wp:extent cx="6271260" cy="18944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133" cy="192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52D" w:rsidRDefault="0016752D" w:rsidP="003D0F92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45759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2B53B8" w:rsidRPr="008B794A" w:rsidRDefault="005E659D" w:rsidP="00EF2D9B">
      <w:pPr>
        <w:tabs>
          <w:tab w:val="left" w:pos="567"/>
        </w:tabs>
        <w:spacing w:before="180" w:after="18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EF2D9B">
        <w:rPr>
          <w:rFonts w:ascii="Arial" w:hAnsi="Arial" w:cs="Arial"/>
          <w:b/>
          <w:color w:val="244061" w:themeColor="accent1" w:themeShade="80"/>
          <w:sz w:val="20"/>
          <w:szCs w:val="20"/>
        </w:rPr>
        <w:t>Najv</w:t>
      </w:r>
      <w:r w:rsidR="006F645D" w:rsidRPr="00EF2D9B">
        <w:rPr>
          <w:rFonts w:ascii="Arial" w:hAnsi="Arial" w:cs="Arial"/>
          <w:b/>
          <w:color w:val="244061" w:themeColor="accent1" w:themeShade="80"/>
          <w:sz w:val="20"/>
          <w:szCs w:val="20"/>
        </w:rPr>
        <w:t>iša</w:t>
      </w:r>
      <w:r w:rsidRPr="00EF2D9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 xml:space="preserve"> prosječna mjesečna neto plaća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45759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obračuna</w:t>
      </w:r>
      <w:r w:rsidR="0011374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2B53B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3D0F9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</w:t>
      </w:r>
      <w:r w:rsidR="003D0F92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Poreču</w:t>
      </w:r>
      <w:r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iznosila je 5.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864</w:t>
      </w:r>
      <w:r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3D0F92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9,2</w:t>
      </w:r>
      <w:r w:rsidR="00542DE9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</w:t>
      </w:r>
      <w:r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od iznosa prosječne mjesečne neto plaće zaposlenih kod poduzetnika 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na razini RH (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372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</w:t>
      </w:r>
      <w:r w:rsidR="00542DE9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od iznosa prosječne mjesečne neto plaće zaposlenih kod poduzetnika na razini 5 pametnih gradova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(5.273 kune)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iša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mjesečn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neto plać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prosjeka na razini RH obračuna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6F645D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 zaposlenima kod poduzetnika </w:t>
      </w:r>
      <w:r w:rsidR="00B90E31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Puli</w:t>
      </w:r>
      <w:r w:rsidR="00B90E31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(5.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23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7070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dok je zaposlenima kod poduzetnika </w:t>
      </w:r>
      <w:r w:rsidR="00B90E31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Rijeci, Vrgorcu i Bjelovaru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ta</w:t>
      </w:r>
      <w:r w:rsidR="009A358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niža plaća od prosjeka na razini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RH</w:t>
      </w:r>
      <w:r w:rsidR="00D73566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  <w:r w:rsidR="002B53B8" w:rsidRPr="00EF2D9B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 prosječna mjesečna neto plaća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obračunana je zaposlenima kod poduzetnika </w:t>
      </w:r>
      <w:r w:rsidR="00D73566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Bjelovaru</w:t>
      </w:r>
      <w:r w:rsidR="00D73566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iznosu od </w:t>
      </w:r>
      <w:r w:rsidR="00505D40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</w:t>
      </w:r>
      <w:r w:rsidR="008B794A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106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143839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B53B8" w:rsidRPr="008B794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5E659D" w:rsidRPr="0017712A" w:rsidRDefault="005E659D" w:rsidP="005A0F9E">
      <w:pPr>
        <w:widowControl w:val="0"/>
        <w:tabs>
          <w:tab w:val="left" w:pos="567"/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01028D"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Prosječna mjesečna neto plaća po zaposlenom u 201</w:t>
      </w:r>
      <w:r w:rsidR="00457593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7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. godini 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5</w:t>
      </w:r>
      <w:r w:rsidR="003624C9"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pametnih gradova u 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RH</w:t>
      </w:r>
    </w:p>
    <w:p w:rsidR="009E39AC" w:rsidRDefault="009E39AC" w:rsidP="009E39AC">
      <w:pPr>
        <w:widowControl w:val="0"/>
        <w:spacing w:after="0"/>
        <w:ind w:left="1418" w:hanging="1418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</w:t>
      </w:r>
      <w:r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u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n</w:t>
      </w:r>
      <w:r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ama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A01AC0" w:rsidRDefault="009105C8" w:rsidP="00706AA2">
      <w:pPr>
        <w:tabs>
          <w:tab w:val="left" w:pos="567"/>
        </w:tabs>
        <w:spacing w:before="40" w:after="0"/>
        <w:jc w:val="center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9"/>
          <w:szCs w:val="19"/>
          <w:lang w:eastAsia="hr-HR"/>
        </w:rPr>
        <w:drawing>
          <wp:inline distT="0" distB="0" distL="0" distR="0" wp14:anchorId="646A8EA8" wp14:editId="66EFAC14">
            <wp:extent cx="6062867" cy="24579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148" cy="247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807" w:rsidRDefault="0016752D" w:rsidP="00297CC9">
      <w:pPr>
        <w:spacing w:before="40" w:after="4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45759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C5652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C5652C" w:rsidRPr="00C5652C" w:rsidRDefault="00C5652C" w:rsidP="00C5652C">
      <w:pP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highlight w:val="red"/>
          <w:lang w:eastAsia="hr-HR"/>
        </w:rPr>
      </w:pPr>
      <w:r w:rsidRPr="00C5652C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2" w:history="1">
        <w:r w:rsidRPr="00C5652C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C5652C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2017 g.</w:t>
      </w:r>
    </w:p>
    <w:p w:rsidR="00C5652C" w:rsidRPr="00C5652C" w:rsidRDefault="00C5652C" w:rsidP="00C5652C">
      <w:pPr>
        <w:spacing w:before="60" w:after="0" w:line="240" w:lineRule="auto"/>
        <w:jc w:val="both"/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</w:pPr>
      <w:r w:rsidRPr="00C5652C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C5652C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13" w:history="1">
        <w:r w:rsidRPr="00C5652C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C5652C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C5652C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C5652C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14" w:history="1">
        <w:r w:rsidRPr="00C5652C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C5652C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C5652C">
        <w:rPr>
          <w:rFonts w:ascii="Arial" w:eastAsia="Calibri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C5652C"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15" w:history="1">
        <w:r w:rsidRPr="00C5652C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C5652C" w:rsidRPr="00C5652C" w:rsidRDefault="00C5652C" w:rsidP="00C5652C">
      <w:pPr>
        <w:spacing w:before="60" w:after="0" w:line="240" w:lineRule="auto"/>
        <w:jc w:val="both"/>
        <w:rPr>
          <w:rFonts w:ascii="Arial" w:eastAsia="Calibri" w:hAnsi="Arial" w:cs="Arial"/>
          <w:color w:val="244061" w:themeColor="accent1" w:themeShade="80"/>
          <w:sz w:val="16"/>
          <w:szCs w:val="16"/>
        </w:rPr>
      </w:pPr>
      <w:r w:rsidRPr="00C5652C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16" w:history="1">
        <w:r w:rsidRPr="00C5652C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C5652C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17" w:history="1">
        <w:r w:rsidRPr="00C5652C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C5652C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18" w:history="1">
        <w:r w:rsidRPr="00C5652C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C5652C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C5652C" w:rsidRPr="00C5652C" w:rsidSect="00E31B6A">
      <w:headerReference w:type="default" r:id="rId19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41" w:rsidRDefault="002B6F41" w:rsidP="008E7389">
      <w:pPr>
        <w:spacing w:after="0" w:line="240" w:lineRule="auto"/>
      </w:pPr>
      <w:r>
        <w:separator/>
      </w:r>
    </w:p>
  </w:endnote>
  <w:endnote w:type="continuationSeparator" w:id="0">
    <w:p w:rsidR="002B6F41" w:rsidRDefault="002B6F41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41" w:rsidRDefault="002B6F41" w:rsidP="008E7389">
      <w:pPr>
        <w:spacing w:after="0" w:line="240" w:lineRule="auto"/>
      </w:pPr>
      <w:r>
        <w:separator/>
      </w:r>
    </w:p>
  </w:footnote>
  <w:footnote w:type="continuationSeparator" w:id="0">
    <w:p w:rsidR="002B6F41" w:rsidRDefault="002B6F41" w:rsidP="008E7389">
      <w:pPr>
        <w:spacing w:after="0" w:line="240" w:lineRule="auto"/>
      </w:pPr>
      <w:r>
        <w:continuationSeparator/>
      </w:r>
    </w:p>
  </w:footnote>
  <w:footnote w:id="1">
    <w:p w:rsidR="002F6E29" w:rsidRPr="002F6E29" w:rsidRDefault="002F6E29">
      <w:pPr>
        <w:pStyle w:val="Tekstfusnote"/>
        <w:rPr>
          <w:rFonts w:ascii="Arial" w:hAnsi="Arial" w:cs="Arial"/>
          <w:sz w:val="16"/>
          <w:szCs w:val="16"/>
        </w:rPr>
      </w:pPr>
      <w:r w:rsidRPr="002F6E29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2F6E29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Poslovni dnevnik, preuzeto: 7.12.2018. </w:t>
      </w:r>
      <w:hyperlink r:id="rId1" w:history="1">
        <w:r w:rsidRPr="000F2066">
          <w:rPr>
            <w:rStyle w:val="Hiperveza"/>
            <w:rFonts w:ascii="Arial" w:hAnsi="Arial" w:cs="Arial"/>
            <w:sz w:val="16"/>
            <w:szCs w:val="16"/>
          </w:rPr>
          <w:t>http://www.poslovni.hr/tehnologija/nagraeni-nacionalni-prvaci-u-smart-rjesenjima-347828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2" w:rsidRPr="006C5A3B" w:rsidRDefault="003D0F92" w:rsidP="005A0F9E">
    <w:pPr>
      <w:tabs>
        <w:tab w:val="left" w:pos="373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21D6E541" wp14:editId="4C25A1CA">
          <wp:extent cx="996315" cy="218440"/>
          <wp:effectExtent l="0" t="0" r="0" b="0"/>
          <wp:docPr id="1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1028D"/>
    <w:rsid w:val="000103A9"/>
    <w:rsid w:val="000361C5"/>
    <w:rsid w:val="0003667F"/>
    <w:rsid w:val="00040235"/>
    <w:rsid w:val="000462BD"/>
    <w:rsid w:val="00047004"/>
    <w:rsid w:val="00047B0F"/>
    <w:rsid w:val="00056E81"/>
    <w:rsid w:val="00071561"/>
    <w:rsid w:val="00084E51"/>
    <w:rsid w:val="00096BB3"/>
    <w:rsid w:val="0009705C"/>
    <w:rsid w:val="000A02DB"/>
    <w:rsid w:val="000A44B9"/>
    <w:rsid w:val="000A7CB8"/>
    <w:rsid w:val="000B1AE4"/>
    <w:rsid w:val="000B2AA0"/>
    <w:rsid w:val="000B365A"/>
    <w:rsid w:val="000B5BE0"/>
    <w:rsid w:val="000C09E6"/>
    <w:rsid w:val="000C0D8D"/>
    <w:rsid w:val="000C3095"/>
    <w:rsid w:val="000D1DA8"/>
    <w:rsid w:val="000D37DF"/>
    <w:rsid w:val="000E01AD"/>
    <w:rsid w:val="000E2659"/>
    <w:rsid w:val="000E64A9"/>
    <w:rsid w:val="000F2066"/>
    <w:rsid w:val="000F3063"/>
    <w:rsid w:val="00105822"/>
    <w:rsid w:val="00107685"/>
    <w:rsid w:val="00113744"/>
    <w:rsid w:val="00131CFD"/>
    <w:rsid w:val="00132FFE"/>
    <w:rsid w:val="001331BD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83708"/>
    <w:rsid w:val="001A264F"/>
    <w:rsid w:val="001B2811"/>
    <w:rsid w:val="001C045D"/>
    <w:rsid w:val="001C128A"/>
    <w:rsid w:val="001C16C2"/>
    <w:rsid w:val="001C3892"/>
    <w:rsid w:val="001D0182"/>
    <w:rsid w:val="001D6D16"/>
    <w:rsid w:val="001E3896"/>
    <w:rsid w:val="001E4743"/>
    <w:rsid w:val="001E5718"/>
    <w:rsid w:val="001E67E2"/>
    <w:rsid w:val="001E6BFA"/>
    <w:rsid w:val="00203B37"/>
    <w:rsid w:val="00204263"/>
    <w:rsid w:val="0020757A"/>
    <w:rsid w:val="002318AE"/>
    <w:rsid w:val="002324E7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247E"/>
    <w:rsid w:val="00276D16"/>
    <w:rsid w:val="00282913"/>
    <w:rsid w:val="00285C48"/>
    <w:rsid w:val="00297CC9"/>
    <w:rsid w:val="002B3DFA"/>
    <w:rsid w:val="002B453C"/>
    <w:rsid w:val="002B53B8"/>
    <w:rsid w:val="002B6B06"/>
    <w:rsid w:val="002B6F41"/>
    <w:rsid w:val="002C0FF8"/>
    <w:rsid w:val="002C13DB"/>
    <w:rsid w:val="002C3C08"/>
    <w:rsid w:val="002C4E15"/>
    <w:rsid w:val="002D6733"/>
    <w:rsid w:val="002D6FBC"/>
    <w:rsid w:val="002F6E29"/>
    <w:rsid w:val="003048E1"/>
    <w:rsid w:val="00305F99"/>
    <w:rsid w:val="00310AE6"/>
    <w:rsid w:val="00321B06"/>
    <w:rsid w:val="003254DB"/>
    <w:rsid w:val="003320A7"/>
    <w:rsid w:val="003365CB"/>
    <w:rsid w:val="00341200"/>
    <w:rsid w:val="0034204D"/>
    <w:rsid w:val="0034338F"/>
    <w:rsid w:val="00350E78"/>
    <w:rsid w:val="0036105B"/>
    <w:rsid w:val="003624C9"/>
    <w:rsid w:val="00364A39"/>
    <w:rsid w:val="00367091"/>
    <w:rsid w:val="00370DD3"/>
    <w:rsid w:val="00371B92"/>
    <w:rsid w:val="0038631C"/>
    <w:rsid w:val="003A2D3C"/>
    <w:rsid w:val="003A4A96"/>
    <w:rsid w:val="003A4BE3"/>
    <w:rsid w:val="003B6E89"/>
    <w:rsid w:val="003C0074"/>
    <w:rsid w:val="003C116E"/>
    <w:rsid w:val="003C4CF3"/>
    <w:rsid w:val="003C6C1B"/>
    <w:rsid w:val="003C701A"/>
    <w:rsid w:val="003D0F92"/>
    <w:rsid w:val="003E5138"/>
    <w:rsid w:val="003E6262"/>
    <w:rsid w:val="003E7284"/>
    <w:rsid w:val="003F2910"/>
    <w:rsid w:val="00401DD9"/>
    <w:rsid w:val="00403CC3"/>
    <w:rsid w:val="00406858"/>
    <w:rsid w:val="0042782E"/>
    <w:rsid w:val="004324C3"/>
    <w:rsid w:val="0043302F"/>
    <w:rsid w:val="004351C3"/>
    <w:rsid w:val="004359CE"/>
    <w:rsid w:val="00440BEC"/>
    <w:rsid w:val="00440D39"/>
    <w:rsid w:val="00453346"/>
    <w:rsid w:val="00457593"/>
    <w:rsid w:val="00460B0E"/>
    <w:rsid w:val="00462226"/>
    <w:rsid w:val="004630CA"/>
    <w:rsid w:val="00465E54"/>
    <w:rsid w:val="00466FEA"/>
    <w:rsid w:val="00467A89"/>
    <w:rsid w:val="00472DC9"/>
    <w:rsid w:val="00473F2F"/>
    <w:rsid w:val="004762F8"/>
    <w:rsid w:val="00480A50"/>
    <w:rsid w:val="00483C33"/>
    <w:rsid w:val="0048666C"/>
    <w:rsid w:val="00493210"/>
    <w:rsid w:val="004946AC"/>
    <w:rsid w:val="004A50A1"/>
    <w:rsid w:val="004A5A59"/>
    <w:rsid w:val="004B54B1"/>
    <w:rsid w:val="004C2456"/>
    <w:rsid w:val="004C3D97"/>
    <w:rsid w:val="004D07C8"/>
    <w:rsid w:val="004D24A9"/>
    <w:rsid w:val="004D4884"/>
    <w:rsid w:val="004D5DE7"/>
    <w:rsid w:val="004E0DA2"/>
    <w:rsid w:val="004E3C77"/>
    <w:rsid w:val="004F1596"/>
    <w:rsid w:val="004F3E69"/>
    <w:rsid w:val="004F7B3C"/>
    <w:rsid w:val="00505D40"/>
    <w:rsid w:val="00506AC4"/>
    <w:rsid w:val="00506B9B"/>
    <w:rsid w:val="005140CC"/>
    <w:rsid w:val="0051465F"/>
    <w:rsid w:val="0051621E"/>
    <w:rsid w:val="00521BFD"/>
    <w:rsid w:val="00523DCA"/>
    <w:rsid w:val="005257CD"/>
    <w:rsid w:val="00542BFC"/>
    <w:rsid w:val="00542DE9"/>
    <w:rsid w:val="005440A3"/>
    <w:rsid w:val="00551370"/>
    <w:rsid w:val="005517C3"/>
    <w:rsid w:val="005537CF"/>
    <w:rsid w:val="00553A21"/>
    <w:rsid w:val="00554632"/>
    <w:rsid w:val="005547B5"/>
    <w:rsid w:val="00562CD5"/>
    <w:rsid w:val="00566C34"/>
    <w:rsid w:val="00572347"/>
    <w:rsid w:val="00591BAA"/>
    <w:rsid w:val="00593135"/>
    <w:rsid w:val="005932AF"/>
    <w:rsid w:val="005A0F9E"/>
    <w:rsid w:val="005B7260"/>
    <w:rsid w:val="005C238D"/>
    <w:rsid w:val="005C2DB8"/>
    <w:rsid w:val="005C41B5"/>
    <w:rsid w:val="005C48CC"/>
    <w:rsid w:val="005D29E9"/>
    <w:rsid w:val="005E659D"/>
    <w:rsid w:val="005E6F3A"/>
    <w:rsid w:val="005F549C"/>
    <w:rsid w:val="005F6975"/>
    <w:rsid w:val="006005BE"/>
    <w:rsid w:val="00610A65"/>
    <w:rsid w:val="006160DC"/>
    <w:rsid w:val="00626B41"/>
    <w:rsid w:val="00627A56"/>
    <w:rsid w:val="00632811"/>
    <w:rsid w:val="00634BA9"/>
    <w:rsid w:val="00635C35"/>
    <w:rsid w:val="0064022B"/>
    <w:rsid w:val="00646352"/>
    <w:rsid w:val="00652B3B"/>
    <w:rsid w:val="006551CC"/>
    <w:rsid w:val="00656005"/>
    <w:rsid w:val="00656613"/>
    <w:rsid w:val="006600AF"/>
    <w:rsid w:val="00660F5D"/>
    <w:rsid w:val="00666461"/>
    <w:rsid w:val="00674AD0"/>
    <w:rsid w:val="0068002C"/>
    <w:rsid w:val="006976B9"/>
    <w:rsid w:val="006B1ABA"/>
    <w:rsid w:val="006B7677"/>
    <w:rsid w:val="006C00E0"/>
    <w:rsid w:val="006C09BF"/>
    <w:rsid w:val="006C2AE8"/>
    <w:rsid w:val="006C2C83"/>
    <w:rsid w:val="006C5A3B"/>
    <w:rsid w:val="006C62E0"/>
    <w:rsid w:val="006D05C9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07031"/>
    <w:rsid w:val="00711E86"/>
    <w:rsid w:val="00712018"/>
    <w:rsid w:val="00713E71"/>
    <w:rsid w:val="007176EF"/>
    <w:rsid w:val="007251BF"/>
    <w:rsid w:val="007317D6"/>
    <w:rsid w:val="00733A0F"/>
    <w:rsid w:val="007352DC"/>
    <w:rsid w:val="00744EE8"/>
    <w:rsid w:val="007575DE"/>
    <w:rsid w:val="00765899"/>
    <w:rsid w:val="007658F3"/>
    <w:rsid w:val="007702ED"/>
    <w:rsid w:val="00787E7A"/>
    <w:rsid w:val="00793485"/>
    <w:rsid w:val="00793E44"/>
    <w:rsid w:val="007A08C5"/>
    <w:rsid w:val="007A1D67"/>
    <w:rsid w:val="007A1F04"/>
    <w:rsid w:val="007A429A"/>
    <w:rsid w:val="007A7C58"/>
    <w:rsid w:val="007B76F1"/>
    <w:rsid w:val="007C1176"/>
    <w:rsid w:val="007C257E"/>
    <w:rsid w:val="007C2D38"/>
    <w:rsid w:val="007C6CFA"/>
    <w:rsid w:val="007D0C2D"/>
    <w:rsid w:val="007D1813"/>
    <w:rsid w:val="007D6D81"/>
    <w:rsid w:val="007D72C1"/>
    <w:rsid w:val="007F341C"/>
    <w:rsid w:val="0081174D"/>
    <w:rsid w:val="00812E69"/>
    <w:rsid w:val="00830A46"/>
    <w:rsid w:val="008311A3"/>
    <w:rsid w:val="008322EF"/>
    <w:rsid w:val="0084529A"/>
    <w:rsid w:val="00845F72"/>
    <w:rsid w:val="00847D74"/>
    <w:rsid w:val="00850660"/>
    <w:rsid w:val="008627B6"/>
    <w:rsid w:val="008631E4"/>
    <w:rsid w:val="00874C85"/>
    <w:rsid w:val="00885FC3"/>
    <w:rsid w:val="0089350B"/>
    <w:rsid w:val="008A15B9"/>
    <w:rsid w:val="008A576F"/>
    <w:rsid w:val="008B2AD2"/>
    <w:rsid w:val="008B2E75"/>
    <w:rsid w:val="008B71DE"/>
    <w:rsid w:val="008B794A"/>
    <w:rsid w:val="008C775D"/>
    <w:rsid w:val="008D22E9"/>
    <w:rsid w:val="008E7389"/>
    <w:rsid w:val="008F0B3A"/>
    <w:rsid w:val="008F4D6E"/>
    <w:rsid w:val="00901842"/>
    <w:rsid w:val="009105C8"/>
    <w:rsid w:val="0091269B"/>
    <w:rsid w:val="00913BEA"/>
    <w:rsid w:val="009141F1"/>
    <w:rsid w:val="00923208"/>
    <w:rsid w:val="009243B9"/>
    <w:rsid w:val="00933A3E"/>
    <w:rsid w:val="00943C24"/>
    <w:rsid w:val="0095662F"/>
    <w:rsid w:val="009612AA"/>
    <w:rsid w:val="009675FD"/>
    <w:rsid w:val="00972390"/>
    <w:rsid w:val="00976E12"/>
    <w:rsid w:val="00984AF2"/>
    <w:rsid w:val="00985FEC"/>
    <w:rsid w:val="0098752F"/>
    <w:rsid w:val="00992867"/>
    <w:rsid w:val="00994539"/>
    <w:rsid w:val="009947B0"/>
    <w:rsid w:val="0099522D"/>
    <w:rsid w:val="009958C5"/>
    <w:rsid w:val="009A358A"/>
    <w:rsid w:val="009A5B57"/>
    <w:rsid w:val="009B228C"/>
    <w:rsid w:val="009C029C"/>
    <w:rsid w:val="009C2ABA"/>
    <w:rsid w:val="009C350D"/>
    <w:rsid w:val="009C4557"/>
    <w:rsid w:val="009D5EA3"/>
    <w:rsid w:val="009E39AC"/>
    <w:rsid w:val="009E63C0"/>
    <w:rsid w:val="009E6BA8"/>
    <w:rsid w:val="00A01AC0"/>
    <w:rsid w:val="00A02A9D"/>
    <w:rsid w:val="00A11CD2"/>
    <w:rsid w:val="00A16A64"/>
    <w:rsid w:val="00A206C4"/>
    <w:rsid w:val="00A21496"/>
    <w:rsid w:val="00A22AA9"/>
    <w:rsid w:val="00A324E2"/>
    <w:rsid w:val="00A471A5"/>
    <w:rsid w:val="00A47BE5"/>
    <w:rsid w:val="00A47E6A"/>
    <w:rsid w:val="00A539F4"/>
    <w:rsid w:val="00A53FBB"/>
    <w:rsid w:val="00A564B1"/>
    <w:rsid w:val="00A63F66"/>
    <w:rsid w:val="00A64A4A"/>
    <w:rsid w:val="00A718FA"/>
    <w:rsid w:val="00A7683C"/>
    <w:rsid w:val="00A805F5"/>
    <w:rsid w:val="00A80C79"/>
    <w:rsid w:val="00A8466C"/>
    <w:rsid w:val="00A9552D"/>
    <w:rsid w:val="00A95E07"/>
    <w:rsid w:val="00A96A1B"/>
    <w:rsid w:val="00AA17D2"/>
    <w:rsid w:val="00AA7750"/>
    <w:rsid w:val="00AB693B"/>
    <w:rsid w:val="00AC009B"/>
    <w:rsid w:val="00AC1F40"/>
    <w:rsid w:val="00AC4807"/>
    <w:rsid w:val="00AC5097"/>
    <w:rsid w:val="00AC6566"/>
    <w:rsid w:val="00AD0A58"/>
    <w:rsid w:val="00AD37ED"/>
    <w:rsid w:val="00AD60DF"/>
    <w:rsid w:val="00AE0109"/>
    <w:rsid w:val="00AE351D"/>
    <w:rsid w:val="00AE7C2A"/>
    <w:rsid w:val="00AF1B08"/>
    <w:rsid w:val="00AF54AA"/>
    <w:rsid w:val="00B00EE2"/>
    <w:rsid w:val="00B020F9"/>
    <w:rsid w:val="00B063D2"/>
    <w:rsid w:val="00B178F9"/>
    <w:rsid w:val="00B205FA"/>
    <w:rsid w:val="00B21C0D"/>
    <w:rsid w:val="00B275BA"/>
    <w:rsid w:val="00B3418F"/>
    <w:rsid w:val="00B4291F"/>
    <w:rsid w:val="00B43719"/>
    <w:rsid w:val="00B43EE7"/>
    <w:rsid w:val="00B440F1"/>
    <w:rsid w:val="00B44EDE"/>
    <w:rsid w:val="00B4520B"/>
    <w:rsid w:val="00B72FF5"/>
    <w:rsid w:val="00B7302B"/>
    <w:rsid w:val="00B74ADA"/>
    <w:rsid w:val="00B86920"/>
    <w:rsid w:val="00B90E31"/>
    <w:rsid w:val="00B92555"/>
    <w:rsid w:val="00B9330E"/>
    <w:rsid w:val="00BA0F3D"/>
    <w:rsid w:val="00BA5704"/>
    <w:rsid w:val="00BB6B67"/>
    <w:rsid w:val="00BC0338"/>
    <w:rsid w:val="00BC3046"/>
    <w:rsid w:val="00BC4354"/>
    <w:rsid w:val="00BD4576"/>
    <w:rsid w:val="00BD5573"/>
    <w:rsid w:val="00BD64B6"/>
    <w:rsid w:val="00BE16CE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30C9"/>
    <w:rsid w:val="00C17960"/>
    <w:rsid w:val="00C21072"/>
    <w:rsid w:val="00C33FA8"/>
    <w:rsid w:val="00C343B3"/>
    <w:rsid w:val="00C379FC"/>
    <w:rsid w:val="00C37FE0"/>
    <w:rsid w:val="00C40CA3"/>
    <w:rsid w:val="00C41252"/>
    <w:rsid w:val="00C436C7"/>
    <w:rsid w:val="00C5652C"/>
    <w:rsid w:val="00C6164E"/>
    <w:rsid w:val="00C67D51"/>
    <w:rsid w:val="00C73651"/>
    <w:rsid w:val="00C74919"/>
    <w:rsid w:val="00C75F52"/>
    <w:rsid w:val="00C7639F"/>
    <w:rsid w:val="00C76986"/>
    <w:rsid w:val="00C8054C"/>
    <w:rsid w:val="00C8090C"/>
    <w:rsid w:val="00C8410D"/>
    <w:rsid w:val="00C8523D"/>
    <w:rsid w:val="00C901B6"/>
    <w:rsid w:val="00C9618B"/>
    <w:rsid w:val="00CB4F88"/>
    <w:rsid w:val="00CC3877"/>
    <w:rsid w:val="00CC41A8"/>
    <w:rsid w:val="00CC45FB"/>
    <w:rsid w:val="00CD54E9"/>
    <w:rsid w:val="00CD78CC"/>
    <w:rsid w:val="00CE4FEA"/>
    <w:rsid w:val="00CF1A71"/>
    <w:rsid w:val="00D06A5D"/>
    <w:rsid w:val="00D1109B"/>
    <w:rsid w:val="00D11A71"/>
    <w:rsid w:val="00D14171"/>
    <w:rsid w:val="00D145FC"/>
    <w:rsid w:val="00D1505F"/>
    <w:rsid w:val="00D2010F"/>
    <w:rsid w:val="00D203A6"/>
    <w:rsid w:val="00D21D7D"/>
    <w:rsid w:val="00D2287B"/>
    <w:rsid w:val="00D2449B"/>
    <w:rsid w:val="00D24B75"/>
    <w:rsid w:val="00D24EAB"/>
    <w:rsid w:val="00D262CE"/>
    <w:rsid w:val="00D27BB0"/>
    <w:rsid w:val="00D34A69"/>
    <w:rsid w:val="00D36FD1"/>
    <w:rsid w:val="00D4368D"/>
    <w:rsid w:val="00D44DBE"/>
    <w:rsid w:val="00D459C2"/>
    <w:rsid w:val="00D51206"/>
    <w:rsid w:val="00D56028"/>
    <w:rsid w:val="00D61154"/>
    <w:rsid w:val="00D644E7"/>
    <w:rsid w:val="00D7057A"/>
    <w:rsid w:val="00D73566"/>
    <w:rsid w:val="00D80F77"/>
    <w:rsid w:val="00D827B9"/>
    <w:rsid w:val="00D866BD"/>
    <w:rsid w:val="00D90C24"/>
    <w:rsid w:val="00D95BFD"/>
    <w:rsid w:val="00D9607C"/>
    <w:rsid w:val="00DC04BB"/>
    <w:rsid w:val="00DC552F"/>
    <w:rsid w:val="00DD08DE"/>
    <w:rsid w:val="00DD6AA5"/>
    <w:rsid w:val="00DD7687"/>
    <w:rsid w:val="00DE4AED"/>
    <w:rsid w:val="00DF1D7A"/>
    <w:rsid w:val="00E12707"/>
    <w:rsid w:val="00E134A9"/>
    <w:rsid w:val="00E1622B"/>
    <w:rsid w:val="00E31B6A"/>
    <w:rsid w:val="00E42448"/>
    <w:rsid w:val="00E50216"/>
    <w:rsid w:val="00E53785"/>
    <w:rsid w:val="00E61CE7"/>
    <w:rsid w:val="00E61EB0"/>
    <w:rsid w:val="00E61FB9"/>
    <w:rsid w:val="00E6539B"/>
    <w:rsid w:val="00E70D14"/>
    <w:rsid w:val="00E75277"/>
    <w:rsid w:val="00E75554"/>
    <w:rsid w:val="00E8435F"/>
    <w:rsid w:val="00E84DE6"/>
    <w:rsid w:val="00E90ABD"/>
    <w:rsid w:val="00E92698"/>
    <w:rsid w:val="00E95342"/>
    <w:rsid w:val="00EB25C8"/>
    <w:rsid w:val="00EB2FA1"/>
    <w:rsid w:val="00EB4687"/>
    <w:rsid w:val="00EB6DE7"/>
    <w:rsid w:val="00EC1ACE"/>
    <w:rsid w:val="00EC314A"/>
    <w:rsid w:val="00EE4B82"/>
    <w:rsid w:val="00EE5A9F"/>
    <w:rsid w:val="00EE7908"/>
    <w:rsid w:val="00EF2D9B"/>
    <w:rsid w:val="00EF49A4"/>
    <w:rsid w:val="00EF6BF0"/>
    <w:rsid w:val="00F04A61"/>
    <w:rsid w:val="00F116D7"/>
    <w:rsid w:val="00F138A4"/>
    <w:rsid w:val="00F2234A"/>
    <w:rsid w:val="00F26565"/>
    <w:rsid w:val="00F267D6"/>
    <w:rsid w:val="00F33B5A"/>
    <w:rsid w:val="00F36406"/>
    <w:rsid w:val="00F44AA0"/>
    <w:rsid w:val="00F54E3F"/>
    <w:rsid w:val="00F56A6D"/>
    <w:rsid w:val="00F72860"/>
    <w:rsid w:val="00F7499B"/>
    <w:rsid w:val="00F77F7B"/>
    <w:rsid w:val="00F858C0"/>
    <w:rsid w:val="00F907CE"/>
    <w:rsid w:val="00F918AF"/>
    <w:rsid w:val="00FA09E7"/>
    <w:rsid w:val="00FA5B96"/>
    <w:rsid w:val="00FC1856"/>
    <w:rsid w:val="00FC3352"/>
    <w:rsid w:val="00FC33E1"/>
    <w:rsid w:val="00FC6D55"/>
    <w:rsid w:val="00FD1A83"/>
    <w:rsid w:val="00FD3DCC"/>
    <w:rsid w:val="00FD4331"/>
    <w:rsid w:val="00FD68F6"/>
    <w:rsid w:val="00FE03A7"/>
    <w:rsid w:val="00FE1B80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21764428190/e980cee93b0755aea15468b04bb7ef28490746c8faa7cedd22ab1468d920221f8929ad6377b88b2f5f7364dfc8eb4730874c06f2bc83918b3a599806a2ad85d1" TargetMode="External"/><Relationship Id="rId13" Type="http://schemas.openxmlformats.org/officeDocument/2006/relationships/hyperlink" Target="http://rgfi.fina.hr/JavnaObjava-web/jsp/prijavaKorisnika.jsp" TargetMode="External"/><Relationship Id="rId18" Type="http://schemas.openxmlformats.org/officeDocument/2006/relationships/hyperlink" Target="http://www.fina.hr/Default.aspx?sec=97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1279" TargetMode="External"/><Relationship Id="rId17" Type="http://schemas.openxmlformats.org/officeDocument/2006/relationships/hyperlink" Target="https://jrr.fina.h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.hr/Default.aspx?sec=15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fina.hr/Default.aspx?art=8958&amp;sec=1275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28128148322/45e71bea13aac252250f16bd20cdca98f0c385c58854f7d222f4b7e7f6be3d01ce9a33b93d8a76454670310ca0a53a3cc358857698979b0d242392b407c408ab" TargetMode="External"/><Relationship Id="rId14" Type="http://schemas.openxmlformats.org/officeDocument/2006/relationships/hyperlink" Target="https://www.transparentno.h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lovni.hr/tehnologija/nagraeni-nacionalni-prvaci-u-smart-rjesenjima-3478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2F48-4D89-4D8B-A5CE-5CAD1DCA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2015-11-30T14:11:00Z</cp:lastPrinted>
  <dcterms:created xsi:type="dcterms:W3CDTF">2019-01-03T15:45:00Z</dcterms:created>
  <dcterms:modified xsi:type="dcterms:W3CDTF">2019-01-04T12:01:00Z</dcterms:modified>
</cp:coreProperties>
</file>