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1D" w:rsidRPr="009A5FDA" w:rsidRDefault="0055186C" w:rsidP="00B3740F">
      <w:pPr>
        <w:spacing w:before="40" w:after="120" w:line="240" w:lineRule="auto"/>
        <w:jc w:val="center"/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</w:pPr>
      <w:r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 xml:space="preserve">TOP </w:t>
      </w:r>
      <w:r w:rsidR="00FD204F"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>10</w:t>
      </w:r>
      <w:r w:rsidR="004E17F4"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 xml:space="preserve"> PODUZETNIKA</w:t>
      </w:r>
      <w:r w:rsidR="00EC150B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 xml:space="preserve"> HRVATSKE</w:t>
      </w:r>
      <w:r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 xml:space="preserve"> PO DOBITI U 201</w:t>
      </w:r>
      <w:r w:rsidR="00142879"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>6</w:t>
      </w:r>
      <w:r w:rsidRPr="00A47E66">
        <w:rPr>
          <w:rFonts w:ascii="Arial" w:hAnsi="Arial" w:cs="Arial"/>
          <w:b/>
          <w:noProof/>
          <w:color w:val="244061" w:themeColor="accent1" w:themeShade="80"/>
          <w:sz w:val="21"/>
          <w:szCs w:val="21"/>
          <w:lang w:eastAsia="hr-HR"/>
        </w:rPr>
        <w:t>. GODINI</w:t>
      </w:r>
    </w:p>
    <w:p w:rsidR="00C84F28" w:rsidRPr="00C84F28" w:rsidRDefault="0055186C" w:rsidP="00C40200">
      <w:pPr>
        <w:spacing w:before="18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 201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6</w:t>
      </w:r>
      <w:r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. godini, poduzetnici Hrvatske, obveznici poreza na dobit, ostvarili su </w:t>
      </w:r>
      <w:r w:rsidR="00865F7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24 milijarde kuna neto dobiti, što je 234,7 % više u odnosu na ostvarenu neto dobit u 2011. godini (7,2 milijarde kuna).</w:t>
      </w:r>
      <w:r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Dobit razdoblja u iznosu od 3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8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7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milijardi kuna ostvarilo je 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76</w:t>
      </w:r>
      <w:r w:rsidR="00C40200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 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546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(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66,9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%) poduzetnika, dok je gubitak razdoblja </w:t>
      </w:r>
      <w:r w:rsidR="008152BD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14,7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milijardi kuna iskazalo </w:t>
      </w:r>
      <w:r w:rsidR="008152BD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njih 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37</w:t>
      </w:r>
      <w:r w:rsidR="00C40200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 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937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(</w:t>
      </w:r>
      <w:r w:rsidR="00F40FD8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33,1</w:t>
      </w:r>
      <w:r w:rsidR="009A5FDA" w:rsidRPr="00A47E6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%).</w:t>
      </w:r>
    </w:p>
    <w:p w:rsidR="008F6852" w:rsidRPr="008F6852" w:rsidRDefault="008F6852" w:rsidP="00C40200">
      <w:pPr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BE5D4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 odnosu na prethodnu poslovnu godinu, u 2016. godini povećani su ukupni prihodi za 5,1 %, ukupni rashodi za 3,9 %, dobit razdoblja za 12,4 %, dok je gubitak razdoblja (gubitak nakon oporezivanja) smanjen za 13,9 %. Smanjenje gubitaka i povećanje dobiti rezultiralo je povećanjem konsolidiranog financijskog rezultata - neto dobiti za 38,3 % u odnosu na 2015. godinu.</w:t>
      </w:r>
    </w:p>
    <w:p w:rsidR="0055186C" w:rsidRDefault="0055186C" w:rsidP="00DD5943">
      <w:pPr>
        <w:keepNext/>
        <w:tabs>
          <w:tab w:val="right" w:pos="10348"/>
        </w:tabs>
        <w:spacing w:before="160" w:after="4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7C1DC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1.</w:t>
      </w:r>
      <w:r w:rsidRPr="007C1DC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Dobit i gubitak poduzetnika Hrvatske 2010. – 201</w:t>
      </w:r>
      <w:r w:rsidR="00344233" w:rsidRPr="007C1DC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6</w:t>
      </w:r>
      <w:r w:rsidRPr="007C1DC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 godine</w:t>
      </w:r>
      <w:r w:rsidRPr="007C1DCE">
        <w:rPr>
          <w:rFonts w:ascii="Arial" w:eastAsia="Times New Roman" w:hAnsi="Arial" w:cs="Times New Roman"/>
          <w:b/>
          <w:bCs/>
          <w:color w:val="17365D"/>
          <w:sz w:val="18"/>
          <w:szCs w:val="18"/>
          <w:vertAlign w:val="superscript"/>
          <w:lang w:eastAsia="hr-HR"/>
        </w:rPr>
        <w:footnoteReference w:id="1"/>
      </w:r>
      <w:r w:rsidRPr="007C1DCE">
        <w:rPr>
          <w:rFonts w:ascii="Arial" w:eastAsia="Times New Roman" w:hAnsi="Arial" w:cs="Times New Roman"/>
          <w:b/>
          <w:bCs/>
          <w:color w:val="FF0000"/>
          <w:sz w:val="20"/>
          <w:szCs w:val="20"/>
          <w:lang w:eastAsia="hr-HR"/>
        </w:rPr>
        <w:tab/>
      </w:r>
      <w:r w:rsidR="00DD5943" w:rsidRPr="007C1DCE">
        <w:rPr>
          <w:rFonts w:ascii="Arial" w:eastAsia="Times New Roman" w:hAnsi="Arial" w:cs="Times New Roman"/>
          <w:b/>
          <w:bCs/>
          <w:color w:val="FF0000"/>
          <w:sz w:val="20"/>
          <w:szCs w:val="20"/>
          <w:lang w:eastAsia="hr-HR"/>
        </w:rPr>
        <w:t xml:space="preserve">   </w:t>
      </w:r>
      <w:r w:rsidRPr="007C1DC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milijunima kuna)</w:t>
      </w:r>
    </w:p>
    <w:tbl>
      <w:tblPr>
        <w:tblW w:w="1044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7"/>
        <w:gridCol w:w="1045"/>
        <w:gridCol w:w="1045"/>
        <w:gridCol w:w="1045"/>
        <w:gridCol w:w="1045"/>
        <w:gridCol w:w="1045"/>
        <w:gridCol w:w="1045"/>
        <w:gridCol w:w="1045"/>
      </w:tblGrid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34.228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38.262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38.388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34.639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39.147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41.858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45.702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29.851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25.849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29.195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27.196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25.240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19.164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14.657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6.040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5.234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4.252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3.914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4.153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5.554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7.010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28.203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32.911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34.053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30.392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34.904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35.926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38.696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29.866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25.731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29.112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26.862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25.150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18.786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14.661</w:t>
            </w:r>
          </w:p>
        </w:tc>
      </w:tr>
      <w:tr w:rsidR="00DD5943" w:rsidRPr="00DD5943" w:rsidTr="00C40200">
        <w:trPr>
          <w:trHeight w:val="283"/>
          <w:jc w:val="center"/>
        </w:trPr>
        <w:tc>
          <w:tcPr>
            <w:tcW w:w="312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Konsolidirani financijski rezultat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-1.663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7.180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4.941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3.529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CD4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9.754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17.140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D5943" w:rsidRPr="00DD5943" w:rsidRDefault="00DD5943" w:rsidP="00DD5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DD5943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24.035</w:t>
            </w:r>
          </w:p>
        </w:tc>
      </w:tr>
    </w:tbl>
    <w:p w:rsidR="00362A47" w:rsidRPr="0055186C" w:rsidRDefault="00362A47" w:rsidP="00B3740F">
      <w:pPr>
        <w:spacing w:before="40" w:after="0" w:line="240" w:lineRule="auto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  <w:r w:rsidRPr="007C1DC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Izvor: </w:t>
      </w:r>
      <w:r w:rsidR="00344233" w:rsidRPr="007C1DC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Fina, Registar godišnjih financijskih izvještaja</w:t>
      </w:r>
    </w:p>
    <w:p w:rsidR="00E24E82" w:rsidRPr="00330996" w:rsidRDefault="00E24E82" w:rsidP="00C40200">
      <w:pPr>
        <w:spacing w:before="18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33099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Najveća neto dobit ostvarena je u 2016. godini, dok su u 2010. godini poduzetnici Hrvatske poslovali negativno i iskazali neto gubitak u iznosu od 1,7 milijardi kuna. U razdoblju od 2011. - 2016. godine poduzetnici ponovno posluju pozitivno i ostvaruju neto dobit.</w:t>
      </w:r>
    </w:p>
    <w:p w:rsidR="00362A47" w:rsidRPr="00362A47" w:rsidRDefault="00362A47" w:rsidP="00C40200">
      <w:pPr>
        <w:tabs>
          <w:tab w:val="left" w:pos="1134"/>
        </w:tabs>
        <w:spacing w:before="180" w:after="40" w:line="240" w:lineRule="auto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F60DA4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Grafikon 1.</w:t>
      </w:r>
      <w:r w:rsidRPr="00F60DA4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Kretanje dobiti i gubitaka poduzetnika Hrvatske u razdoblju 2000. – 201</w:t>
      </w:r>
      <w:r w:rsidR="003C5254" w:rsidRPr="00F60DA4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6</w:t>
      </w:r>
      <w:r w:rsidRPr="00F60DA4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</w:p>
    <w:p w:rsidR="00362A47" w:rsidRPr="00D95BC9" w:rsidRDefault="003C5254" w:rsidP="003C5254">
      <w:pPr>
        <w:spacing w:after="0" w:line="240" w:lineRule="auto"/>
        <w:jc w:val="center"/>
        <w:rPr>
          <w:rFonts w:ascii="Arial" w:eastAsia="Times New Roman" w:hAnsi="Arial" w:cs="Times New Roman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59723D5D">
            <wp:extent cx="6401133" cy="2376000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133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254" w:rsidRPr="00F60DA4" w:rsidRDefault="003C5254" w:rsidP="00C40200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60DA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610F2F" w:rsidRDefault="00610F2F" w:rsidP="00C40200">
      <w:pPr>
        <w:spacing w:before="18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Za poduzetnike Hrvatske karakteristična je velika koncentracija rezultata poslovanja na relativno mali broj poduzetnika.</w:t>
      </w:r>
      <w:r w:rsidR="00E24E82"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To potvrđuju podaci o udjelu prvih deset poduzetnika po ostvarenoj dobiti razdoblja od 5,7 milijardi kuna</w:t>
      </w:r>
      <w:r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="00E24E82"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što je 14,9</w:t>
      </w:r>
      <w:r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="00E24E82" w:rsidRPr="00DA2FF9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% ukupno ostvarene dobiti razdoblja kod svih poduzetnika RH. </w:t>
      </w:r>
    </w:p>
    <w:p w:rsidR="00580694" w:rsidRDefault="00580694" w:rsidP="00C40200">
      <w:pPr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2.</w:t>
      </w:r>
      <w:r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>Rang lista TOP 10 poduzetnika pre</w:t>
      </w:r>
      <w:r w:rsidR="006376D1"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ma ostvarenoj neto dobiti u 201</w:t>
      </w:r>
      <w:r w:rsidR="00F00E44"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6</w:t>
      </w:r>
      <w:r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. </w:t>
      </w:r>
      <w:r w:rsidR="00EC7D77"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g</w:t>
      </w:r>
      <w:r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odini</w:t>
      </w:r>
      <w:r w:rsidR="00EC7D77"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         </w:t>
      </w:r>
      <w:r w:rsidR="00E34B17" w:rsidRPr="00DA2FF9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EC7D77" w:rsidRPr="00DA2FF9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104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515"/>
        <w:gridCol w:w="1134"/>
        <w:gridCol w:w="4309"/>
        <w:gridCol w:w="1018"/>
        <w:gridCol w:w="965"/>
        <w:gridCol w:w="961"/>
        <w:gridCol w:w="1020"/>
      </w:tblGrid>
      <w:tr w:rsidR="00C40200" w:rsidRPr="001D49AE" w:rsidTr="00B17777">
        <w:trPr>
          <w:trHeight w:val="425"/>
          <w:tblHeader/>
          <w:jc w:val="center"/>
        </w:trPr>
        <w:tc>
          <w:tcPr>
            <w:tcW w:w="5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Rang 2016</w:t>
            </w:r>
            <w:r w:rsidR="00C40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5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Rang 2015</w:t>
            </w:r>
            <w:r w:rsidR="00C40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OIB</w:t>
            </w:r>
          </w:p>
        </w:tc>
        <w:tc>
          <w:tcPr>
            <w:tcW w:w="43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Naziv</w:t>
            </w:r>
          </w:p>
        </w:tc>
        <w:tc>
          <w:tcPr>
            <w:tcW w:w="10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zaposlenih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Ukupan prihod</w:t>
            </w:r>
          </w:p>
        </w:tc>
        <w:tc>
          <w:tcPr>
            <w:tcW w:w="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Porez na dobit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1D49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Neto dobit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28921978587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C40200" w:rsidP="00C4020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hyperlink r:id="rId10" w:history="1">
              <w:r w:rsidRPr="00C40200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</w:rPr>
                <w:t>HRVATSKA ELEKTROPRIVREDA d.d.</w:t>
              </w:r>
            </w:hyperlink>
            <w:r w:rsidRPr="00C40200">
              <w:rPr>
                <w:rFonts w:ascii="Arial" w:hAnsi="Arial" w:cs="Arial"/>
                <w:color w:val="104160"/>
                <w:sz w:val="16"/>
                <w:szCs w:val="16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8.856.569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181.664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1.323.818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2.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81793146560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C40200" w:rsidP="00C4020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hyperlink r:id="rId11" w:history="1">
              <w:r w:rsidRPr="00C40200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</w:rPr>
                <w:t>HRVATSKI TELEKOM d.d.</w:t>
              </w:r>
            </w:hyperlink>
            <w:r w:rsidRPr="00C40200">
              <w:rPr>
                <w:rFonts w:ascii="Arial" w:hAnsi="Arial" w:cs="Arial"/>
                <w:color w:val="104160"/>
                <w:sz w:val="16"/>
                <w:szCs w:val="16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3.653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6.138.168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236.398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908.797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3.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46830600751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C40200" w:rsidP="00C4020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hyperlink r:id="rId12" w:history="1">
              <w:r w:rsidRPr="00C40200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</w:rPr>
                <w:t>HEP - Operator distribucijskog sustava d.o.o.</w:t>
              </w:r>
            </w:hyperlink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7.504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6.619.001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175.610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667.087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4.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28.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96330310281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AUTOCESTA RIJEKA ZAGREB d.d.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1.147.671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589.711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5.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44205501677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PLIVA HRVATSKA d.o.o.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2.095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4.601.833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159.104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554.754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6.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09518585079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HEP PROIZVODNJA d.o.o.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1.815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3.273.139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172.490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428.288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99175363728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HS PRODUKT d.o.o.</w:t>
            </w:r>
            <w:r w:rsidR="00C40200">
              <w:rPr>
                <w:rStyle w:val="FootnoteReference"/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footnoteReference w:id="2"/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1.620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921.961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83.494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377.922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8.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32.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36201212847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C40200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Valamar Riviera </w:t>
            </w:r>
            <w:r w:rsidR="001D49AE"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d.d.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2.594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1.559.110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-71.599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336.658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9.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89018712265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JADRANSKI NAFTOVOD d.d.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752.734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47.725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290.492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51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10.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1D49AE" w:rsidRDefault="001D49AE" w:rsidP="001D4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</w:pPr>
            <w:r w:rsidRPr="001D49AE">
              <w:rPr>
                <w:rFonts w:ascii="Arial" w:eastAsia="Times New Roman" w:hAnsi="Arial" w:cs="Arial"/>
                <w:color w:val="244061"/>
                <w:sz w:val="16"/>
                <w:szCs w:val="18"/>
                <w:lang w:eastAsia="hr-HR"/>
              </w:rPr>
              <w:t>13148821633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C40200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40200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HRVATSKI OPERATOR PRIJENOSNOG SUSTAVA d.o.o.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1.063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1.674.964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3.234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17777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271.673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64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po neto dobiti</w:t>
            </w:r>
          </w:p>
        </w:tc>
        <w:tc>
          <w:tcPr>
            <w:tcW w:w="10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21.155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35.545.150</w:t>
            </w:r>
          </w:p>
        </w:tc>
        <w:tc>
          <w:tcPr>
            <w:tcW w:w="9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988.122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5.749.201</w:t>
            </w:r>
          </w:p>
        </w:tc>
      </w:tr>
      <w:tr w:rsidR="00C40200" w:rsidRPr="001D49AE" w:rsidTr="00C40200">
        <w:trPr>
          <w:trHeight w:val="283"/>
          <w:jc w:val="center"/>
        </w:trPr>
        <w:tc>
          <w:tcPr>
            <w:tcW w:w="64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Udio TOP 10 u RH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2,5%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5,6%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14,1%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1D49AE" w:rsidRPr="00B17777" w:rsidRDefault="001D49AE" w:rsidP="001D4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B17777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14,9%</w:t>
            </w:r>
          </w:p>
        </w:tc>
      </w:tr>
    </w:tbl>
    <w:p w:rsidR="00AC6F4F" w:rsidRPr="0055186C" w:rsidRDefault="00AC6F4F" w:rsidP="00B3740F">
      <w:pPr>
        <w:spacing w:before="40" w:after="0" w:line="240" w:lineRule="auto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  <w:r w:rsidRPr="00DA2FF9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Izvor: </w:t>
      </w:r>
      <w:r w:rsidR="00F00E44" w:rsidRPr="00DA2FF9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Fina, Registar godišnjih financijskih izvještaja</w:t>
      </w:r>
    </w:p>
    <w:p w:rsidR="004065C4" w:rsidRPr="00C40200" w:rsidRDefault="00C40200" w:rsidP="00C40200">
      <w:pPr>
        <w:spacing w:before="180" w:after="12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40200">
        <w:rPr>
          <w:rFonts w:ascii="Arial" w:hAnsi="Arial" w:cs="Arial"/>
          <w:color w:val="104160"/>
          <w:sz w:val="20"/>
          <w:szCs w:val="20"/>
        </w:rPr>
        <w:t xml:space="preserve">Za razliku od prethodne, 2015. godine, kada je društvo </w:t>
      </w:r>
      <w:hyperlink r:id="rId13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ADRIS GRUPA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iz Rovinja ostvarilo najveću dobit razdoblja, u 2016. godini najveću dobit ostvarilo je društvo </w:t>
      </w:r>
      <w:hyperlink r:id="rId14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HRVATSKA ELEKTROPRIVREDA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(1,3 milijardi kuna). Na drugom je mjestu </w:t>
      </w:r>
      <w:hyperlink r:id="rId15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HRVATSKI TELEKOM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sa 908,8 milijuna kuna dobiti, dok je na trećem mjestu po ostvarenoj dobiti društvo </w:t>
      </w:r>
      <w:hyperlink r:id="rId16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HEP - Operator distribucijskog sustava d.o.o.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sa 667,1 milijun kuna. Na rang listi su u odnosu na prethodnu godinu četiri nova društva: </w:t>
      </w:r>
      <w:hyperlink r:id="rId17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AUTOCESTA RIJEKA ZAGREB d.d.,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</w:t>
      </w:r>
      <w:hyperlink r:id="rId18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PLIVA HRVATSKA d.o.o</w:t>
        </w:r>
      </w:hyperlink>
      <w:r w:rsidRPr="00C40200">
        <w:rPr>
          <w:rFonts w:ascii="Arial" w:hAnsi="Arial" w:cs="Arial"/>
          <w:color w:val="0000FF"/>
          <w:sz w:val="20"/>
          <w:szCs w:val="20"/>
          <w:u w:val="single"/>
        </w:rPr>
        <w:t>.</w:t>
      </w:r>
      <w:r w:rsidRPr="00C40200">
        <w:rPr>
          <w:rFonts w:ascii="Arial" w:hAnsi="Arial" w:cs="Arial"/>
          <w:color w:val="104160"/>
          <w:sz w:val="20"/>
          <w:szCs w:val="20"/>
        </w:rPr>
        <w:t xml:space="preserve">, </w:t>
      </w:r>
      <w:hyperlink r:id="rId19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VALAMAR RIVIERA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i </w:t>
      </w:r>
      <w:hyperlink r:id="rId20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HRVATSKI OPERATOR PRIJENOSNOG SUSTAVA d.o.o</w:t>
        </w:r>
      </w:hyperlink>
      <w:r w:rsidRPr="00C40200">
        <w:rPr>
          <w:rFonts w:ascii="Arial" w:hAnsi="Arial" w:cs="Arial"/>
          <w:color w:val="0000FF"/>
          <w:sz w:val="20"/>
          <w:szCs w:val="20"/>
          <w:u w:val="single"/>
        </w:rPr>
        <w:t>.</w:t>
      </w:r>
      <w:r w:rsidRPr="00C40200">
        <w:rPr>
          <w:rFonts w:ascii="Arial" w:hAnsi="Arial" w:cs="Arial"/>
          <w:color w:val="104160"/>
          <w:sz w:val="20"/>
          <w:szCs w:val="20"/>
        </w:rPr>
        <w:t xml:space="preserve">, a sa liste su ispala društva: </w:t>
      </w:r>
      <w:hyperlink r:id="rId21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ADRIS GRUPA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, </w:t>
      </w:r>
      <w:hyperlink r:id="rId22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KONSTRUKTOR INŽENJERING d.d</w:t>
        </w:r>
      </w:hyperlink>
      <w:r w:rsidRPr="00C40200">
        <w:rPr>
          <w:rFonts w:ascii="Arial" w:hAnsi="Arial" w:cs="Arial"/>
          <w:color w:val="0000FF"/>
          <w:sz w:val="20"/>
          <w:szCs w:val="20"/>
          <w:u w:val="single"/>
        </w:rPr>
        <w:t>.</w:t>
      </w:r>
      <w:r w:rsidRPr="00C40200">
        <w:rPr>
          <w:rFonts w:ascii="Arial" w:hAnsi="Arial" w:cs="Arial"/>
          <w:color w:val="104160"/>
          <w:sz w:val="20"/>
          <w:szCs w:val="20"/>
        </w:rPr>
        <w:t xml:space="preserve">, </w:t>
      </w:r>
      <w:hyperlink r:id="rId23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KONZUM d.d.</w:t>
        </w:r>
      </w:hyperlink>
      <w:r w:rsidRPr="00C40200">
        <w:rPr>
          <w:rFonts w:ascii="Arial" w:hAnsi="Arial" w:cs="Arial"/>
          <w:color w:val="104160"/>
          <w:sz w:val="20"/>
          <w:szCs w:val="20"/>
        </w:rPr>
        <w:t xml:space="preserve"> te </w:t>
      </w:r>
      <w:hyperlink r:id="rId24" w:history="1">
        <w:r w:rsidRPr="00C40200">
          <w:rPr>
            <w:rFonts w:ascii="Arial" w:hAnsi="Arial" w:cs="Arial"/>
            <w:color w:val="0000FF"/>
            <w:sz w:val="20"/>
            <w:szCs w:val="20"/>
            <w:u w:val="single"/>
          </w:rPr>
          <w:t>JAMNICA d.d</w:t>
        </w:r>
      </w:hyperlink>
      <w:r w:rsidRPr="00C40200">
        <w:rPr>
          <w:rFonts w:ascii="Arial" w:hAnsi="Arial" w:cs="Arial"/>
          <w:color w:val="0000FF"/>
          <w:sz w:val="20"/>
          <w:szCs w:val="20"/>
          <w:u w:val="single"/>
        </w:rPr>
        <w:t>.</w:t>
      </w:r>
      <w:hyperlink r:id="rId25" w:history="1"/>
      <w:r w:rsidR="000767FA" w:rsidRPr="00C40200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</w:p>
    <w:p w:rsidR="00C40200" w:rsidRDefault="00C40200" w:rsidP="00C40200">
      <w:pPr>
        <w:pBdr>
          <w:top w:val="single" w:sz="12" w:space="1" w:color="auto"/>
        </w:pBdr>
        <w:spacing w:before="240"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</w:p>
    <w:p w:rsidR="0097677E" w:rsidRPr="002C7AA7" w:rsidRDefault="0097677E" w:rsidP="00C40200">
      <w:pPr>
        <w:pBdr>
          <w:top w:val="single" w:sz="12" w:space="1" w:color="auto"/>
        </w:pBdr>
        <w:spacing w:before="120"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6" w:history="1">
        <w:r w:rsidRPr="002C7AA7">
          <w:rPr>
            <w:rStyle w:val="Hyperlink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2015. godini.</w:t>
      </w:r>
    </w:p>
    <w:p w:rsidR="0097677E" w:rsidRPr="002C7AA7" w:rsidRDefault="0097677E" w:rsidP="0097677E">
      <w:pPr>
        <w:pBdr>
          <w:top w:val="single" w:sz="12" w:space="1" w:color="auto"/>
        </w:pBdr>
        <w:spacing w:before="80" w:after="0" w:line="264" w:lineRule="auto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2C7AA7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7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2C7AA7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2C7AA7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2C7AA7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28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2C7AA7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2C7AA7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2C7AA7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29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97677E" w:rsidRDefault="0097677E" w:rsidP="0097677E">
      <w:pPr>
        <w:spacing w:before="80" w:after="0" w:line="264" w:lineRule="auto"/>
        <w:jc w:val="both"/>
        <w:rPr>
          <w:rFonts w:ascii="Arial" w:hAnsi="Arial" w:cs="Arial"/>
          <w:bCs/>
          <w:i/>
          <w:color w:val="17365D"/>
          <w:sz w:val="18"/>
          <w:szCs w:val="19"/>
        </w:rPr>
      </w:pPr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0" w:history="1">
        <w:r w:rsidRPr="002C7AA7">
          <w:rPr>
            <w:rStyle w:val="Hyperlink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31" w:history="1">
        <w:r w:rsidRPr="002C7AA7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WEB aplikacije JRR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2" w:history="1">
        <w:r w:rsidRPr="002C7AA7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p w:rsidR="00C40200" w:rsidRPr="002C7AA7" w:rsidRDefault="00C40200" w:rsidP="0097677E">
      <w:pPr>
        <w:spacing w:before="80" w:after="0" w:line="264" w:lineRule="auto"/>
        <w:jc w:val="both"/>
        <w:rPr>
          <w:rFonts w:ascii="Arial" w:eastAsia="Times New Roman" w:hAnsi="Arial"/>
          <w:i/>
          <w:color w:val="1F497D"/>
          <w:sz w:val="14"/>
          <w:szCs w:val="16"/>
          <w:lang w:eastAsia="hr-HR"/>
        </w:rPr>
      </w:pPr>
    </w:p>
    <w:tbl>
      <w:tblPr>
        <w:tblW w:w="9781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3574"/>
        <w:gridCol w:w="2710"/>
        <w:gridCol w:w="3497"/>
      </w:tblGrid>
      <w:tr w:rsidR="0097677E" w:rsidRPr="00DC6176" w:rsidTr="0097677E">
        <w:trPr>
          <w:jc w:val="center"/>
        </w:trPr>
        <w:tc>
          <w:tcPr>
            <w:tcW w:w="37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97677E" w:rsidRDefault="0097677E" w:rsidP="00880333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59E5BD22" wp14:editId="5D95B8B6">
                  <wp:extent cx="2011680" cy="1572895"/>
                  <wp:effectExtent l="0" t="0" r="7620" b="8255"/>
                  <wp:docPr id="6" name="Picture 6" descr="Fina info šasija_210x270.jpg">
                    <a:hlinkClick xmlns:a="http://schemas.openxmlformats.org/drawingml/2006/main" r:id="rId33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Fina info šasija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97677E" w:rsidRDefault="0097677E" w:rsidP="00880333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53DC0584" wp14:editId="3ACC8C45">
                  <wp:extent cx="1584000" cy="1728000"/>
                  <wp:effectExtent l="0" t="0" r="0" b="5715"/>
                  <wp:docPr id="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97677E" w:rsidRDefault="0097677E" w:rsidP="00880333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542DFB72" wp14:editId="03143017">
                  <wp:extent cx="2011680" cy="1572895"/>
                  <wp:effectExtent l="0" t="0" r="7620" b="8255"/>
                  <wp:docPr id="1" name="Picture 2" descr="smsBlokade_210x270.jpg">
                    <a:hlinkClick xmlns:a="http://schemas.openxmlformats.org/drawingml/2006/main" r:id="rId36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sBlokade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1F6" w:rsidRDefault="006E51F6" w:rsidP="00610F2F">
      <w:pPr>
        <w:rPr>
          <w:sz w:val="24"/>
          <w:szCs w:val="24"/>
        </w:rPr>
      </w:pPr>
    </w:p>
    <w:p w:rsidR="00B12BE4" w:rsidRPr="006E51F6" w:rsidRDefault="00B12BE4" w:rsidP="006E51F6">
      <w:pPr>
        <w:rPr>
          <w:sz w:val="24"/>
          <w:szCs w:val="24"/>
        </w:rPr>
      </w:pPr>
      <w:bookmarkStart w:id="0" w:name="_GoBack"/>
      <w:bookmarkEnd w:id="0"/>
    </w:p>
    <w:sectPr w:rsidR="00B12BE4" w:rsidRPr="006E51F6" w:rsidSect="00E34B17">
      <w:headerReference w:type="default" r:id="rId38"/>
      <w:pgSz w:w="11906" w:h="16838"/>
      <w:pgMar w:top="567" w:right="680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47" w:rsidRDefault="00991F47" w:rsidP="0055186C">
      <w:pPr>
        <w:spacing w:after="0" w:line="240" w:lineRule="auto"/>
      </w:pPr>
      <w:r>
        <w:separator/>
      </w:r>
    </w:p>
  </w:endnote>
  <w:endnote w:type="continuationSeparator" w:id="0">
    <w:p w:rsidR="00991F47" w:rsidRDefault="00991F47" w:rsidP="0055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47" w:rsidRDefault="00991F47" w:rsidP="0055186C">
      <w:pPr>
        <w:spacing w:after="0" w:line="240" w:lineRule="auto"/>
      </w:pPr>
      <w:r>
        <w:separator/>
      </w:r>
    </w:p>
  </w:footnote>
  <w:footnote w:type="continuationSeparator" w:id="0">
    <w:p w:rsidR="00991F47" w:rsidRDefault="00991F47" w:rsidP="0055186C">
      <w:pPr>
        <w:spacing w:after="0" w:line="240" w:lineRule="auto"/>
      </w:pPr>
      <w:r>
        <w:continuationSeparator/>
      </w:r>
    </w:p>
  </w:footnote>
  <w:footnote w:id="1">
    <w:p w:rsidR="0055186C" w:rsidRPr="004E1AE4" w:rsidRDefault="0055186C" w:rsidP="00E34B17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4E1AE4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 xml:space="preserve"> Serija podataka u tablici za sve godine prikazana je iz godišnjeg financijskog izvještaja iz kolone tekuće godine.</w:t>
      </w:r>
    </w:p>
  </w:footnote>
  <w:footnote w:id="2">
    <w:p w:rsidR="00C40200" w:rsidRPr="004E1AE4" w:rsidRDefault="00C40200" w:rsidP="00C40200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4E1AE4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 xml:space="preserve">HS Produkt d.o.o. iz Karlovca, </w:t>
      </w:r>
      <w:hyperlink r:id="rId1" w:history="1">
        <w:r w:rsidRPr="004E1AE4">
          <w:rPr>
            <w:rStyle w:val="Hyperlink"/>
            <w:rFonts w:ascii="Arial" w:hAnsi="Arial" w:cs="Arial"/>
            <w:sz w:val="17"/>
            <w:szCs w:val="17"/>
          </w:rPr>
          <w:t>dobitnik je dviju Zlatnih bilanci</w:t>
        </w:r>
      </w:hyperlink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 xml:space="preserve"> jer je proglašen za najuspješnijeg poduzetnika u 2015. godini u djelatnosti Prerađivačka industrija i kao sveukupni pobjednik, najuspješniji poduzetnik prema financijskom rejtingu u 2015. godini.</w:t>
      </w:r>
    </w:p>
  </w:footnote>
  <w:footnote w:id="3">
    <w:p w:rsidR="000767FA" w:rsidRPr="004E1AE4" w:rsidRDefault="000767FA" w:rsidP="004E1AE4">
      <w:pPr>
        <w:pStyle w:val="FootnoteText"/>
        <w:spacing w:before="6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4E1AE4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4E1AE4">
        <w:rPr>
          <w:rFonts w:ascii="Arial" w:hAnsi="Arial" w:cs="Arial"/>
          <w:color w:val="244061" w:themeColor="accent1" w:themeShade="80"/>
          <w:sz w:val="17"/>
          <w:szCs w:val="17"/>
        </w:rPr>
        <w:t>Društvo JAMNICA d.d. nije predalo financijske izvještaje za statističke i druge potrebe za 2016. godinu.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6C" w:rsidRPr="00D95BC9" w:rsidRDefault="0055186C">
    <w:pPr>
      <w:pStyle w:val="Header"/>
      <w:rPr>
        <w:sz w:val="18"/>
        <w:szCs w:val="18"/>
      </w:rPr>
    </w:pPr>
    <w:r w:rsidRPr="00D95BC9">
      <w:rPr>
        <w:noProof/>
        <w:sz w:val="18"/>
        <w:szCs w:val="18"/>
        <w:lang w:eastAsia="hr-HR"/>
      </w:rPr>
      <w:drawing>
        <wp:anchor distT="0" distB="0" distL="114300" distR="114300" simplePos="0" relativeHeight="251658240" behindDoc="0" locked="0" layoutInCell="1" allowOverlap="1" wp14:anchorId="5348AEA6" wp14:editId="2660F1A5">
          <wp:simplePos x="0" y="0"/>
          <wp:positionH relativeFrom="column">
            <wp:posOffset>40259</wp:posOffset>
          </wp:positionH>
          <wp:positionV relativeFrom="paragraph">
            <wp:posOffset>-73660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812B0"/>
    <w:multiLevelType w:val="multilevel"/>
    <w:tmpl w:val="1638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F7"/>
    <w:rsid w:val="000519BC"/>
    <w:rsid w:val="00067386"/>
    <w:rsid w:val="000767FA"/>
    <w:rsid w:val="0010392E"/>
    <w:rsid w:val="00142879"/>
    <w:rsid w:val="0017641D"/>
    <w:rsid w:val="001D49AE"/>
    <w:rsid w:val="001F7B91"/>
    <w:rsid w:val="00206AA8"/>
    <w:rsid w:val="00212500"/>
    <w:rsid w:val="0023427B"/>
    <w:rsid w:val="00234311"/>
    <w:rsid w:val="002362E9"/>
    <w:rsid w:val="002B5C79"/>
    <w:rsid w:val="002B6DCE"/>
    <w:rsid w:val="002C0F1B"/>
    <w:rsid w:val="00316C26"/>
    <w:rsid w:val="00330996"/>
    <w:rsid w:val="00344233"/>
    <w:rsid w:val="0034576C"/>
    <w:rsid w:val="00362A47"/>
    <w:rsid w:val="003A4191"/>
    <w:rsid w:val="003B5DDA"/>
    <w:rsid w:val="003C5254"/>
    <w:rsid w:val="003D36D8"/>
    <w:rsid w:val="003F7EBF"/>
    <w:rsid w:val="004065C4"/>
    <w:rsid w:val="004A2230"/>
    <w:rsid w:val="004C1FFE"/>
    <w:rsid w:val="004E0AA7"/>
    <w:rsid w:val="004E17F4"/>
    <w:rsid w:val="004E1AE4"/>
    <w:rsid w:val="004E217D"/>
    <w:rsid w:val="00527D00"/>
    <w:rsid w:val="0055186C"/>
    <w:rsid w:val="00572C0D"/>
    <w:rsid w:val="00580694"/>
    <w:rsid w:val="00596AC7"/>
    <w:rsid w:val="005B2F63"/>
    <w:rsid w:val="005C7428"/>
    <w:rsid w:val="005D16C8"/>
    <w:rsid w:val="00600789"/>
    <w:rsid w:val="00610F2F"/>
    <w:rsid w:val="00627066"/>
    <w:rsid w:val="006376D1"/>
    <w:rsid w:val="00643F01"/>
    <w:rsid w:val="00644938"/>
    <w:rsid w:val="00647DAC"/>
    <w:rsid w:val="00694299"/>
    <w:rsid w:val="006E51F6"/>
    <w:rsid w:val="00714D6E"/>
    <w:rsid w:val="00796414"/>
    <w:rsid w:val="007A03FE"/>
    <w:rsid w:val="007B2213"/>
    <w:rsid w:val="007C1DCE"/>
    <w:rsid w:val="007E58F7"/>
    <w:rsid w:val="007F48B9"/>
    <w:rsid w:val="008152BD"/>
    <w:rsid w:val="008577EA"/>
    <w:rsid w:val="00864A0D"/>
    <w:rsid w:val="00865F7A"/>
    <w:rsid w:val="008B58FA"/>
    <w:rsid w:val="008F6852"/>
    <w:rsid w:val="00971036"/>
    <w:rsid w:val="0097677E"/>
    <w:rsid w:val="00991F47"/>
    <w:rsid w:val="00996600"/>
    <w:rsid w:val="009A5FDA"/>
    <w:rsid w:val="009B50CF"/>
    <w:rsid w:val="00A148AC"/>
    <w:rsid w:val="00A21453"/>
    <w:rsid w:val="00A461E7"/>
    <w:rsid w:val="00A47E66"/>
    <w:rsid w:val="00A57884"/>
    <w:rsid w:val="00A62321"/>
    <w:rsid w:val="00A648D8"/>
    <w:rsid w:val="00AA1C8F"/>
    <w:rsid w:val="00AC6F4F"/>
    <w:rsid w:val="00AD0DAE"/>
    <w:rsid w:val="00AD1A24"/>
    <w:rsid w:val="00AD3E0D"/>
    <w:rsid w:val="00B07972"/>
    <w:rsid w:val="00B12BE4"/>
    <w:rsid w:val="00B17777"/>
    <w:rsid w:val="00B329AB"/>
    <w:rsid w:val="00B3740F"/>
    <w:rsid w:val="00B63B23"/>
    <w:rsid w:val="00BA03A4"/>
    <w:rsid w:val="00BE5D46"/>
    <w:rsid w:val="00C20979"/>
    <w:rsid w:val="00C40200"/>
    <w:rsid w:val="00C53B70"/>
    <w:rsid w:val="00C84F28"/>
    <w:rsid w:val="00CA52B0"/>
    <w:rsid w:val="00CC3F25"/>
    <w:rsid w:val="00CD4EDC"/>
    <w:rsid w:val="00CD6F6B"/>
    <w:rsid w:val="00D237CD"/>
    <w:rsid w:val="00D67633"/>
    <w:rsid w:val="00D762CE"/>
    <w:rsid w:val="00D86D61"/>
    <w:rsid w:val="00D94DD3"/>
    <w:rsid w:val="00D95BC9"/>
    <w:rsid w:val="00DA2FF9"/>
    <w:rsid w:val="00DA5E28"/>
    <w:rsid w:val="00DB40BE"/>
    <w:rsid w:val="00DD5943"/>
    <w:rsid w:val="00E24E82"/>
    <w:rsid w:val="00E33313"/>
    <w:rsid w:val="00E34B17"/>
    <w:rsid w:val="00E6009C"/>
    <w:rsid w:val="00E73FF8"/>
    <w:rsid w:val="00E7615B"/>
    <w:rsid w:val="00E8344B"/>
    <w:rsid w:val="00E96945"/>
    <w:rsid w:val="00E97E1A"/>
    <w:rsid w:val="00EC150B"/>
    <w:rsid w:val="00EC352B"/>
    <w:rsid w:val="00EC7D77"/>
    <w:rsid w:val="00EE33B1"/>
    <w:rsid w:val="00F00E44"/>
    <w:rsid w:val="00F40FD8"/>
    <w:rsid w:val="00F60DA4"/>
    <w:rsid w:val="00FC58F7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F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8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86C"/>
    <w:rPr>
      <w:sz w:val="20"/>
      <w:szCs w:val="20"/>
    </w:rPr>
  </w:style>
  <w:style w:type="character" w:styleId="FootnoteReference">
    <w:name w:val="footnote reference"/>
    <w:uiPriority w:val="99"/>
    <w:semiHidden/>
    <w:rsid w:val="005518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1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6C"/>
  </w:style>
  <w:style w:type="paragraph" w:styleId="Footer">
    <w:name w:val="footer"/>
    <w:basedOn w:val="Normal"/>
    <w:link w:val="FooterChar"/>
    <w:uiPriority w:val="99"/>
    <w:unhideWhenUsed/>
    <w:rsid w:val="00551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6C"/>
  </w:style>
  <w:style w:type="table" w:styleId="TableGrid">
    <w:name w:val="Table Grid"/>
    <w:basedOn w:val="TableNormal"/>
    <w:uiPriority w:val="59"/>
    <w:rsid w:val="005B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16C2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2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14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F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8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86C"/>
    <w:rPr>
      <w:sz w:val="20"/>
      <w:szCs w:val="20"/>
    </w:rPr>
  </w:style>
  <w:style w:type="character" w:styleId="FootnoteReference">
    <w:name w:val="footnote reference"/>
    <w:uiPriority w:val="99"/>
    <w:semiHidden/>
    <w:rsid w:val="005518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1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6C"/>
  </w:style>
  <w:style w:type="paragraph" w:styleId="Footer">
    <w:name w:val="footer"/>
    <w:basedOn w:val="Normal"/>
    <w:link w:val="FooterChar"/>
    <w:uiPriority w:val="99"/>
    <w:unhideWhenUsed/>
    <w:rsid w:val="00551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6C"/>
  </w:style>
  <w:style w:type="table" w:styleId="TableGrid">
    <w:name w:val="Table Grid"/>
    <w:basedOn w:val="TableNormal"/>
    <w:uiPriority w:val="59"/>
    <w:rsid w:val="005B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16C2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2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14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1609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211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912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6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76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5463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82023167977/fc1f4c26fcce8fdfae61c5d4d8c1cafa4abf1a7d410abb32c0d8d0502eb57ed4fe7d60b4b18fbcd377f6f289d1265fdbcbc94c4596fbb3be52a64eba68ee7a65" TargetMode="External"/><Relationship Id="rId18" Type="http://schemas.openxmlformats.org/officeDocument/2006/relationships/hyperlink" Target="https://www.transparentno.hr/pregled/44205501677/271941ea0a9491bc40f708d0ec8524ed49d5fd55a35e80f9e14f30db2adb87d628c6ac169a5cdbc13a949fa566e27a9a89b8e1a501b362820cf668c2f97feebb" TargetMode="External"/><Relationship Id="rId26" Type="http://schemas.openxmlformats.org/officeDocument/2006/relationships/hyperlink" Target="http://www.fina.hr/Default.aspx?sec=127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parentno.hr/pregled/82023167977/fc1f4c26fcce8fdfae61c5d4d8c1cafa4abf1a7d410abb32c0d8d0502eb57ed4fe7d60b4b18fbcd377f6f289d1265fdbcbc94c4596fbb3be52a64eba68ee7a65" TargetMode="External"/><Relationship Id="rId34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46830600751/8c6907440d9a8379c73914a7bbf5dd0ff2a05b0982b086dc14ab10bdbd82d214ec16003b0837baf7ad0c40d14164a43747e1a9332585b1e55b0fa76f03535bde" TargetMode="External"/><Relationship Id="rId17" Type="http://schemas.openxmlformats.org/officeDocument/2006/relationships/hyperlink" Target="https://www.transparentno.hr/pregled/96330310281/64ead5d3a9a1763e988f939e32d74034974ed156bd86095377e311a02952486cc3caba23b0bf11fd19f781fd5bc1b97bf92df45e6f1b4bca79883570c3e19be0" TargetMode="External"/><Relationship Id="rId25" Type="http://schemas.openxmlformats.org/officeDocument/2006/relationships/hyperlink" Target="https://www.transparentno.hr/pregled/46830600751/8c6907440d9a8379c73914a7bbf5dd0ff2a05b0982b086dc14ab10bdbd82d214ec16003b0837baf7ad0c40d14164a43747e1a9332585b1e55b0fa76f03535bde" TargetMode="External"/><Relationship Id="rId33" Type="http://schemas.openxmlformats.org/officeDocument/2006/relationships/hyperlink" Target="http://www.fina.hr/Default.aspx?sec=17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46830600751/8c6907440d9a8379c73914a7bbf5dd0ff2a05b0982b086dc14ab10bdbd82d214ec16003b0837baf7ad0c40d14164a43747e1a9332585b1e55b0fa76f03535bde" TargetMode="External"/><Relationship Id="rId20" Type="http://schemas.openxmlformats.org/officeDocument/2006/relationships/hyperlink" Target="https://www.transparentno.hr/pregled/13148821633/c1ae326112249f537f4c53d6a3c99ded988341e3d34c488b9f727a2ecce3eb079a2b2c1c4cf1315125ff0ffb64551a1f5ef9c709b045ce2b3bfd3575dc02558a" TargetMode="External"/><Relationship Id="rId29" Type="http://schemas.openxmlformats.org/officeDocument/2006/relationships/hyperlink" Target="http://www.fina.hr/Default.aspx?art=8958&amp;sec=12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81793146560/e8f0a774116e562fa9a6b8f1c8a9f781bce67a650b9dbba522f621eda6726127c20e41dff3aab7dc7b8e04ff945dd441dda5cd7850d60afc81c72b1a9f70f2dd" TargetMode="External"/><Relationship Id="rId24" Type="http://schemas.openxmlformats.org/officeDocument/2006/relationships/hyperlink" Target="https://www.transparentno.hr/pregled/05050436541/4b13a7bea49f4e6d696f95070b26a242b96b09ab500b6224d96f723eb4611ae0f99bdf880f932ce572bef71b3b4be75718141749dd85c587431045fcd43709f7" TargetMode="External"/><Relationship Id="rId32" Type="http://schemas.openxmlformats.org/officeDocument/2006/relationships/hyperlink" Target="http://www.fina.hr/Default.aspx?sec=972" TargetMode="External"/><Relationship Id="rId37" Type="http://schemas.openxmlformats.org/officeDocument/2006/relationships/image" Target="media/image4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81793146560/e8f0a774116e562fa9a6b8f1c8a9f781bce67a650b9dbba522f621eda6726127c20e41dff3aab7dc7b8e04ff945dd441dda5cd7850d60afc81c72b1a9f70f2dd" TargetMode="External"/><Relationship Id="rId23" Type="http://schemas.openxmlformats.org/officeDocument/2006/relationships/hyperlink" Target="https://www.transparentno.hr/pregled/29955634590/2becde0f0675d336553a4d71f6cef9aea68ce31e2b8b2558a40be349578bce4ad653a7c2bd8386c052b0a5584c15e79a54bc00a396b9d86ecf1cff457f4dee2c" TargetMode="External"/><Relationship Id="rId28" Type="http://schemas.openxmlformats.org/officeDocument/2006/relationships/hyperlink" Target="https://www.transparentno.hr/" TargetMode="External"/><Relationship Id="rId36" Type="http://schemas.openxmlformats.org/officeDocument/2006/relationships/hyperlink" Target="http://www.fina.hr/lgs.axd?t=24&amp;id=15" TargetMode="External"/><Relationship Id="rId10" Type="http://schemas.openxmlformats.org/officeDocument/2006/relationships/hyperlink" Target="https://www.transparentno.hr/pregled/28921978587/0b93aae3f86154ae80c3c542174bf864a9290d46c2201f309f893f448c8b6dec125321da1e74e94b1991dd4a70febfc7f0f3fff379f2cba653dae599080a1094" TargetMode="External"/><Relationship Id="rId19" Type="http://schemas.openxmlformats.org/officeDocument/2006/relationships/hyperlink" Target="https://www.transparentno.hr/pregled/36201212847/846e73d9165bcc30c3be9def02024bae3238852106494554dd30389979ddac054fce1f468dd87e1a6e5ac329cd145e04a806cbaf27a9f6432258258650c3c158" TargetMode="External"/><Relationship Id="rId31" Type="http://schemas.openxmlformats.org/officeDocument/2006/relationships/hyperlink" Target="https://jrr.fina.h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28921978587/0b93aae3f86154ae80c3c542174bf864a9290d46c2201f309f893f448c8b6dec125321da1e74e94b1991dd4a70febfc7f0f3fff379f2cba653dae599080a1094" TargetMode="External"/><Relationship Id="rId22" Type="http://schemas.openxmlformats.org/officeDocument/2006/relationships/hyperlink" Target="https://www.transparentno.hr/pregled/81356391287/11939608a8ba199960d312c4d8233337c297fd15ddaf1dbfb8fc1f17affaa93e652956ec852d8827f4e56c8f7f3b4ecb9bf550e40c4934633f8f1fcd787c60d0" TargetMode="External"/><Relationship Id="rId27" Type="http://schemas.openxmlformats.org/officeDocument/2006/relationships/hyperlink" Target="http://rgfi.fina.hr/JavnaObjava-web/jsp/prijavaKorisnika.jsp" TargetMode="External"/><Relationship Id="rId30" Type="http://schemas.openxmlformats.org/officeDocument/2006/relationships/hyperlink" Target="http://www.fina.hr/Default.aspx?sec=1538" TargetMode="External"/><Relationship Id="rId35" Type="http://schemas.openxmlformats.org/officeDocument/2006/relationships/image" Target="media/image3.jpe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/Default.aspx?art=12058&amp;sec=18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6AC9-984A-49DF-820B-F475DFF6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2018-01-03T10:54:00Z</dcterms:created>
  <dcterms:modified xsi:type="dcterms:W3CDTF">2018-01-03T10:57:00Z</dcterms:modified>
</cp:coreProperties>
</file>