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F8" w:rsidRPr="002233F8" w:rsidRDefault="002233F8" w:rsidP="00C92770">
      <w:pPr>
        <w:spacing w:after="0" w:line="240" w:lineRule="auto"/>
        <w:jc w:val="center"/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</w:pPr>
      <w:r w:rsidRPr="002233F8"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>PROSJEČNE MJESEČNE NETO PLAĆE Z</w:t>
      </w:r>
      <w:r w:rsidR="005919CF"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>A</w:t>
      </w:r>
      <w:r w:rsidRPr="002233F8"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>POSLENIH KOD PODUZETNIKA U 2016. GODINI, PROMATRANO PO ŽUPANIJAMA</w:t>
      </w:r>
    </w:p>
    <w:p w:rsidR="00193F22" w:rsidRDefault="002233F8" w:rsidP="008D7B68">
      <w:pPr>
        <w:spacing w:before="12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Prosječna mjesečna obračunata neto plaća po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zaposlenom kod poduzetnika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Republici Hrvatskoj u 2016. godini iznosi</w:t>
      </w:r>
      <w:r w:rsidR="008160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la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je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5.140 kuna</w:t>
      </w:r>
      <w:r w:rsidR="00E51F24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2233F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što je nominalno 1,8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</w:t>
      </w:r>
      <w:r w:rsidRPr="002233F8">
        <w:rPr>
          <w:rFonts w:ascii="Arial" w:eastAsia="Times New Roman" w:hAnsi="Arial" w:cs="Arial"/>
          <w:b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više nego 2015. godine (uslijed smanjenja potrošačkih cijena od 1,1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%, to je realno povećanje od 2,9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%).</w:t>
      </w:r>
      <w:r w:rsidRPr="002233F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</w:t>
      </w:r>
      <w:r w:rsidR="008D7B6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romatrano p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 županijama</w:t>
      </w:r>
      <w:r w:rsidR="008D7B6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visina prosječne mjesečne obračunate neto plaće po radniku razlikovala </w:t>
      </w:r>
      <w:r w:rsidR="008160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se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od županije do županije. Prosjek plaća viši od 5.000 kuna obračunat je zaposlenima kod poduzetnika u Zagrebačkoj (5.183 kn), Dubrovačko-neretvanskoj (5.233 kn), Istarskoj </w:t>
      </w:r>
      <w:r w:rsidR="008D7B6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županiji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(5.261 kn) i Gradu Zagrebu (6.000 kn).</w:t>
      </w:r>
      <w:r w:rsidRPr="002233F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Prosječne mjesečne neto p</w:t>
      </w:r>
      <w:r w:rsidR="00816012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laće na razini županija kretale su se</w:t>
      </w:r>
      <w:r w:rsidRPr="002233F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u rasponu od najnižih 3.639 kuna u Virovitičko-podravs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koj županiji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do 6.000 kuna u Gradu Zagrebu, dakle u omjeru 1:1,65. </w:t>
      </w:r>
    </w:p>
    <w:p w:rsidR="002233F8" w:rsidRPr="002233F8" w:rsidRDefault="002233F8" w:rsidP="008D7B68">
      <w:pPr>
        <w:spacing w:before="12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Već duži niz godina prosječne plaće u gotovo svim županijama</w:t>
      </w:r>
      <w:r w:rsidR="008160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osim u Gradu Zagrebu</w:t>
      </w:r>
      <w:r w:rsidR="005C5DD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još tri županije</w:t>
      </w:r>
      <w:r w:rsidR="008160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zaostaju za prosjekom R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H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 </w:t>
      </w:r>
      <w:r w:rsidR="00193F2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ajveće zaostajanje plaća u odnosu na prosjek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na razini RH bi</w:t>
      </w:r>
      <w:r w:rsidR="00D01DF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l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 je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Virovitičko-podravskoj županiji 29,2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%,</w:t>
      </w:r>
      <w:r w:rsidRPr="002233F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Vukovarsko-srijemskoj županiji 26,4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%, Bjelovarsko-bilogorskoj</w:t>
      </w:r>
      <w:r w:rsidRPr="002233F8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26,3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%, Požeško-slavonskoj 24,5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te u Ličko-senjskoj 21,3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%, a najmanje u Primorsko-goranskoj županiji 2,1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%.</w:t>
      </w:r>
    </w:p>
    <w:p w:rsidR="002233F8" w:rsidRPr="0025128C" w:rsidRDefault="002233F8" w:rsidP="00C92770">
      <w:pPr>
        <w:tabs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 w:cs="Times New Roman"/>
          <w:color w:val="17365D"/>
          <w:sz w:val="16"/>
          <w:szCs w:val="18"/>
          <w:lang w:eastAsia="hr-HR"/>
        </w:rPr>
      </w:pP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Tablica </w:t>
      </w:r>
      <w:r w:rsidR="008D7B68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Broj zaposlenih i prosječna mjesečna </w:t>
      </w:r>
      <w:r w:rsidR="00A5551D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neto </w:t>
      </w: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plaća zaposlenih kod poduzetnika u 2015. i 2016. godini, po županijama</w:t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</w:t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25128C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           </w:t>
      </w:r>
      <w:r w:rsidR="0025128C" w:rsidRPr="004C4E5B">
        <w:rPr>
          <w:rFonts w:ascii="Arial" w:eastAsia="Times New Roman" w:hAnsi="Arial" w:cs="Times New Roman"/>
          <w:color w:val="17365D"/>
          <w:sz w:val="16"/>
          <w:szCs w:val="18"/>
          <w:lang w:eastAsia="hr-HR"/>
        </w:rPr>
        <w:t>(prosječne plaće u kunama)</w:t>
      </w:r>
    </w:p>
    <w:tbl>
      <w:tblPr>
        <w:tblW w:w="986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1"/>
        <w:gridCol w:w="850"/>
        <w:gridCol w:w="794"/>
        <w:gridCol w:w="794"/>
        <w:gridCol w:w="624"/>
        <w:gridCol w:w="737"/>
        <w:gridCol w:w="737"/>
        <w:gridCol w:w="624"/>
        <w:gridCol w:w="1191"/>
        <w:gridCol w:w="1305"/>
      </w:tblGrid>
      <w:tr w:rsidR="008D7B68" w:rsidRPr="002233F8" w:rsidTr="00070999">
        <w:trPr>
          <w:cantSplit/>
          <w:trHeight w:val="510"/>
          <w:tblHeader/>
          <w:jc w:val="center"/>
        </w:trPr>
        <w:tc>
          <w:tcPr>
            <w:tcW w:w="221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bookmarkStart w:id="0" w:name="OLE_LINK1"/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Županija</w:t>
            </w:r>
          </w:p>
        </w:tc>
        <w:tc>
          <w:tcPr>
            <w:tcW w:w="850" w:type="dxa"/>
            <w:vMerge w:val="restart"/>
            <w:tcBorders>
              <w:top w:val="single" w:sz="4" w:space="0" w:color="FFFFFF"/>
              <w:left w:val="nil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8D7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poduz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624" w:type="dxa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double" w:sz="4" w:space="0" w:color="808080" w:themeColor="background1" w:themeShade="80"/>
            </w:tcBorders>
            <w:shd w:val="clear" w:color="auto" w:fill="244061" w:themeFill="accent1" w:themeFillShade="80"/>
            <w:textDirection w:val="btLr"/>
            <w:vAlign w:val="center"/>
          </w:tcPr>
          <w:p w:rsidR="008D7B68" w:rsidRPr="002233F8" w:rsidRDefault="008D7B68" w:rsidP="008D7B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1474" w:type="dxa"/>
            <w:gridSpan w:val="2"/>
            <w:tcBorders>
              <w:top w:val="single" w:sz="4" w:space="0" w:color="FFFFFF" w:themeColor="background1"/>
              <w:left w:val="doub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Prosječna mjesečna plaća</w:t>
            </w:r>
          </w:p>
        </w:tc>
        <w:tc>
          <w:tcPr>
            <w:tcW w:w="624" w:type="dxa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textDirection w:val="btLr"/>
            <w:vAlign w:val="center"/>
          </w:tcPr>
          <w:p w:rsidR="008D7B68" w:rsidRPr="002233F8" w:rsidRDefault="008D7B68" w:rsidP="008D7B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1191" w:type="dxa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8D7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 xml:space="preserve">Odnos prema prosjeku RH u % </w:t>
            </w:r>
            <w:r w:rsidRPr="002233F8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br/>
              <w:t>RH = 100,0</w:t>
            </w:r>
          </w:p>
        </w:tc>
        <w:tc>
          <w:tcPr>
            <w:tcW w:w="1305" w:type="dxa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8D7B68" w:rsidRDefault="008D7B68" w:rsidP="008D7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Najveća prosj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2233F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plaća kod poduzetnika s &gt;10 zaposl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.*</w:t>
            </w:r>
            <w:r w:rsidR="005C5DD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8D7B68" w:rsidRPr="002233F8" w:rsidTr="00070999">
        <w:trPr>
          <w:trHeight w:val="283"/>
          <w:tblHeader/>
          <w:jc w:val="center"/>
        </w:trPr>
        <w:tc>
          <w:tcPr>
            <w:tcW w:w="2211" w:type="dxa"/>
            <w:vMerge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003366"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624" w:type="dxa"/>
            <w:vMerge/>
            <w:tcBorders>
              <w:left w:val="single" w:sz="4" w:space="0" w:color="FFFFFF" w:themeColor="background1"/>
              <w:bottom w:val="single" w:sz="4" w:space="0" w:color="BFBFBF"/>
              <w:right w:val="double" w:sz="4" w:space="0" w:color="808080" w:themeColor="background1" w:themeShade="80"/>
            </w:tcBorders>
            <w:shd w:val="clear" w:color="auto" w:fill="244061" w:themeFill="accent1" w:themeFillShade="80"/>
          </w:tcPr>
          <w:p w:rsidR="008D7B68" w:rsidRPr="002233F8" w:rsidRDefault="008D7B68" w:rsidP="00223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FFFFFF" w:themeColor="background1"/>
              <w:left w:val="doub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B6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8D7B68" w:rsidRPr="002233F8" w:rsidRDefault="008D7B68" w:rsidP="00B6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624" w:type="dxa"/>
            <w:vMerge/>
            <w:tcBorders>
              <w:left w:val="single" w:sz="4" w:space="0" w:color="FFFFFF" w:themeColor="background1"/>
              <w:bottom w:val="single" w:sz="4" w:space="0" w:color="BFBFBF"/>
              <w:right w:val="single" w:sz="4" w:space="0" w:color="FFFFFF"/>
            </w:tcBorders>
            <w:shd w:val="clear" w:color="000000" w:fill="003366"/>
          </w:tcPr>
          <w:p w:rsidR="008D7B68" w:rsidRDefault="008D7B68" w:rsidP="00B6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191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003366"/>
          </w:tcPr>
          <w:p w:rsidR="008D7B68" w:rsidRDefault="008D7B68" w:rsidP="00B6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05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</w:tcPr>
          <w:p w:rsidR="008D7B68" w:rsidRDefault="008D7B68" w:rsidP="00B6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 Bjelovarsko-bilogorska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1.776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13.143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13.530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102,9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3.691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3.790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-26,3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14.010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 Brodsko-posavska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1.849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15.183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16.253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107,0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4.388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4.564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-11,2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9.863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366EFC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 Dubrovačko-neretvan</w:t>
            </w:r>
            <w:r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3.783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19.205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19.692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102,5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4.963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5.233</w:t>
            </w:r>
            <w:r w:rsidR="005C5DD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105,4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1,8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13.944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 Grad Zagreb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38.127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311.115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324.866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104,4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5.951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6.000</w:t>
            </w:r>
            <w:r w:rsidR="005C5DD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100,8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16,7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49.832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 Istarska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9.984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45.883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48.363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105,4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5.083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5.261</w:t>
            </w:r>
            <w:r w:rsidR="005C5DD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103,5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34.855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 Karlovačka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2.027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15.621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16.337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104,6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4.545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4.779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105,1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-7,0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12.106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 Koprivničko-križevačka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1.688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15.394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16.301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105,9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4.800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4.815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100,3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-6,3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10.998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 Krapinsko-zagorska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1.975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18.121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19.309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106,6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4.270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4.354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102,0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-15,3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10.369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 Ličko-senjska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765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3.977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4.150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104,4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3.861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4.043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104,7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-21,3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12.234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 Međimurska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2.983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25.541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27.332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107,0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4.030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4.149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103,0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-19,3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11.968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 Osječko-baranjska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4.764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34.916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37.966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108,7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4.068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4.134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101,6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-19,6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23.480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12. Požeško-slavonska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828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8.112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8.380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3.735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3.883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103,9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-24,5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9.925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 Primorsko-goranska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9.689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57.556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60.244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104,7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4.935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5.032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102,0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-2,1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23.891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14. Sisačko-moslavačka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1.925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15.992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16.076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100,5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4.087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4.187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102,4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-18,5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10.684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 Splitsko-dalmatinska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12.725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70.849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74.741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105,5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4.469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4.509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100,9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-12,3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25.036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 Šibensko-kninska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2.228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11.008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11.706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4.410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4.827</w:t>
            </w:r>
          </w:p>
        </w:tc>
        <w:tc>
          <w:tcPr>
            <w:tcW w:w="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109,5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-6,1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36.763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17. Varaždinska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3.488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38.436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40.519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105,4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4.044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4.152</w:t>
            </w:r>
          </w:p>
        </w:tc>
        <w:tc>
          <w:tcPr>
            <w:tcW w:w="624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-19,2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13.056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18. Virovitičko-podravska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7.445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7.898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106,1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3.556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3.639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102,3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-29,2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9.099</w:t>
            </w:r>
          </w:p>
        </w:tc>
      </w:tr>
      <w:tr w:rsidR="003A314F" w:rsidRPr="002233F8" w:rsidTr="00070999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 Vukovarsko-srijemska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1.755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16.409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17.438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3.605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3.783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104,9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-26,4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18.484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20. Zadarska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3.918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20.363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21.644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4.728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4.852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102,6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-5,6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24.483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21. Zagrebačka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7.206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47.338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50.365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double" w:sz="4" w:space="0" w:color="808080" w:themeColor="background1" w:themeShade="80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106,4</w:t>
            </w:r>
          </w:p>
        </w:tc>
        <w:tc>
          <w:tcPr>
            <w:tcW w:w="737" w:type="dxa"/>
            <w:tcBorders>
              <w:top w:val="single" w:sz="4" w:space="0" w:color="BFBFBF"/>
              <w:left w:val="doub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5.023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5.183</w:t>
            </w:r>
            <w:r w:rsidR="005C5DD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30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23.654</w:t>
            </w:r>
          </w:p>
        </w:tc>
      </w:tr>
      <w:tr w:rsidR="003A314F" w:rsidRPr="002233F8" w:rsidTr="000644F5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RH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D01D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114.483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811.607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853.110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:rsidR="003A314F" w:rsidRDefault="003A314F" w:rsidP="003A314F">
            <w:pPr>
              <w:spacing w:after="0" w:line="240" w:lineRule="auto"/>
              <w:jc w:val="right"/>
            </w:pPr>
            <w:r w:rsidRPr="003A314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105,1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doub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5.049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A314F" w:rsidRPr="002233F8" w:rsidRDefault="003A314F" w:rsidP="002233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5.140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101,8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A314F" w:rsidRPr="002233F8" w:rsidRDefault="003A314F" w:rsidP="00A15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2233F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3A314F" w:rsidRPr="003A314F" w:rsidRDefault="003A314F" w:rsidP="003A31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3A314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-</w:t>
            </w:r>
          </w:p>
        </w:tc>
      </w:tr>
    </w:tbl>
    <w:bookmarkEnd w:id="0"/>
    <w:p w:rsidR="002233F8" w:rsidRDefault="002233F8" w:rsidP="005C5DD6">
      <w:pPr>
        <w:spacing w:before="60"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2233F8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Financijska agencija - Registar godišnjih financijskih izvještaja</w:t>
      </w:r>
    </w:p>
    <w:p w:rsidR="005C5DD6" w:rsidRDefault="005C5DD6" w:rsidP="005C5DD6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*Prosječna mjesečna neto plaća zaposlenih kod poduzetnika na razini županije veća od prosječne mjesečne neto plaće zaposlenih kod poduzetnika na razini RH:</w:t>
      </w:r>
    </w:p>
    <w:p w:rsidR="002233F8" w:rsidRPr="002233F8" w:rsidRDefault="002233F8" w:rsidP="005C5DD6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*</w:t>
      </w:r>
      <w:r w:rsidR="005C5DD6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“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Navedeni podatak odnosi se na poduzetnika </w:t>
      </w:r>
      <w:r w:rsidR="00C92770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sa sjedištem u županiji, 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koji ima 10 ili više zaposlenih</w:t>
      </w:r>
      <w:r w:rsidR="00C92770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 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koji je obračunao najveću prosječnu mjesečnu neto plaću.</w:t>
      </w:r>
    </w:p>
    <w:p w:rsidR="002233F8" w:rsidRDefault="002233F8" w:rsidP="00F12311">
      <w:pPr>
        <w:spacing w:before="18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2016. godini u odnosu na 2015. godinu prosječne mjesečne neto plaće nisu smanjene niti u jednoj županiji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a najviše su rasle </w:t>
      </w:r>
      <w:r w:rsidR="00D01DF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zaposlenima kod poduzetnika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D01DF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Šibensko-kninskoj županiji</w:t>
      </w:r>
      <w:r w:rsidR="00D01DFF" w:rsidRPr="009D1DD4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9,5 %.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Na spomenuto povećanje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najviše je 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utjecao </w:t>
      </w:r>
      <w:hyperlink r:id="rId8" w:history="1">
        <w:r w:rsidR="004E6F7A" w:rsidRPr="008D6B2C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ZM-VIKOM d.o.o.</w:t>
        </w:r>
      </w:hyperlink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 Šibenika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koje je u 2016. godini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imalo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4E6F7A" w:rsidRP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479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zaposlenih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kojima je obračunata </w:t>
      </w:r>
      <w:r w:rsidR="004E6F7A"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prosječn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</w:t>
      </w:r>
      <w:r w:rsidR="004E6F7A"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mjesečn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</w:t>
      </w:r>
      <w:r w:rsidR="004E6F7A"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neto plać</w:t>
      </w:r>
      <w:r w:rsidR="004E6F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 </w:t>
      </w:r>
      <w:r w:rsidR="009309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iznosu od </w:t>
      </w:r>
      <w:r w:rsidR="009309CF" w:rsidRPr="009309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12.521</w:t>
      </w:r>
      <w:r w:rsidR="009309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kunu, što je povećanje od 194,6 % u odnosu na 2015. godinu kada su zapošljavali 211 radnika.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Prosjek je povećan s osnove uključivanja podataka za </w:t>
      </w:r>
      <w:r w:rsidR="002827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zaposlen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e u </w:t>
      </w:r>
      <w:r w:rsidR="002827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inozemn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oj </w:t>
      </w:r>
      <w:r w:rsidR="002827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podružnic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 društva, u Njemačkoj</w:t>
      </w:r>
      <w:r w:rsidR="002827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 </w:t>
      </w:r>
    </w:p>
    <w:p w:rsidR="00F37013" w:rsidRDefault="005C5DD6" w:rsidP="00B15CF5">
      <w:pPr>
        <w:spacing w:before="12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lastRenderedPageBreak/>
        <w:t xml:space="preserve">Među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poduzetni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cima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s 10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 više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zaposlenih na razini </w:t>
      </w:r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određene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županij</w:t>
      </w:r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e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 time i na razini RH,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najveću prosječnu mjesečnu neto plaću u 2016. godini, obračunao je srednje velik</w:t>
      </w:r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 poduzetnik </w:t>
      </w:r>
      <w:hyperlink r:id="rId9" w:history="1">
        <w:r w:rsidR="00F37013" w:rsidRPr="002779C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MICROSOFT HRVATSKA</w:t>
        </w:r>
        <w:r w:rsidR="004B6F9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 xml:space="preserve"> </w:t>
        </w:r>
        <w:r w:rsidR="00F37013" w:rsidRPr="002779C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d.o.o.</w:t>
        </w:r>
      </w:hyperlink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 Zagreba,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čija je pretežita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djelatnost </w:t>
      </w:r>
      <w:bookmarkStart w:id="1" w:name="_GoBack"/>
      <w:bookmarkEnd w:id="1"/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62.01 - </w:t>
      </w:r>
      <w:r w:rsidR="00F37013" w:rsidRP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Računalno programiranje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 to </w:t>
      </w:r>
      <w:r w:rsidR="00F370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iznosu od 49.832 kune.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Među 10 društava u županiji Grad Zagreb s 10 i više zaposlenih kojima je obračuna</w:t>
      </w:r>
      <w:r w:rsidR="0059717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t</w:t>
      </w:r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 najveća prosječna mjesečna neto plaća (između 30.000 i 50.000 kuna), još su tri poduzetnika čija je pretežita djelatnost računalno programiranje ili izdavanje softvera (područje djelatnosti J - Informacije i komunikacije</w:t>
      </w:r>
      <w:r w:rsidR="004B6F9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</w:t>
      </w:r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0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ORACLE HRVATSKA d.o.o.</w:t>
        </w:r>
      </w:hyperlink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1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CISCO SYSTEMS HRVATSKA d.o.o.</w:t>
        </w:r>
      </w:hyperlink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</w:t>
      </w:r>
      <w:hyperlink r:id="rId12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SAP d.o.o.</w:t>
        </w:r>
      </w:hyperlink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pet je poduzetnika iz područja djelatnosti M - Stručne, znanstvene i tehničke djelatnosti</w:t>
      </w:r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(</w:t>
      </w:r>
      <w:hyperlink r:id="rId13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INGRA d.d.</w:t>
        </w:r>
      </w:hyperlink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4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AstraZeneca d.o.o.</w:t>
        </w:r>
      </w:hyperlink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5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Samsung Electronics Austria Gmbh, Podružnica Zagreb</w:t>
        </w:r>
      </w:hyperlink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6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McKinsey &amp; Company, Inc. Croatia Podružnica Zagreb</w:t>
        </w:r>
      </w:hyperlink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</w:t>
      </w:r>
      <w:hyperlink r:id="rId17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SERVIER PHARMA d.o.o.</w:t>
        </w:r>
      </w:hyperlink>
      <w:r w:rsid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), </w:t>
      </w:r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 jedan je iz područja djelatnosti G - Trgovima, i to iz djelatnosti posredovanja u trgovini raznovrsnim proizvodima (</w:t>
      </w:r>
      <w:hyperlink r:id="rId18" w:history="1">
        <w:r w:rsidR="00B15CF5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SHIRE d.o.o.</w:t>
        </w:r>
      </w:hyperlink>
      <w:r w:rsidR="00B15CF5" w:rsidRPr="00B15C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).</w:t>
      </w:r>
    </w:p>
    <w:p w:rsidR="00E97F8D" w:rsidRDefault="00254399" w:rsidP="00254399">
      <w:pPr>
        <w:spacing w:before="12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Među poduzetnicima s n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aj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većom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prosječn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om mjesečnom 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neto plać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om na razini određene županije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r w:rsidR="00A2682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mal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</w:t>
      </w:r>
      <w:r w:rsidR="00A2682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poduzetnik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9" w:history="1">
        <w:r w:rsidR="00E97F8D" w:rsidRPr="002779C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SLAVONSKI HRAST d.o.o.</w:t>
        </w:r>
      </w:hyperlink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 Virovitičko-podravske županije (NKD 16.10 - </w:t>
      </w:r>
      <w:r w:rsidR="00E97F8D" w:rsidRP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Piljenje i blanjanje drva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obračunao je zaposlenima najmanju prosječnu mjesečnu neto plaću</w:t>
      </w:r>
      <w:r w:rsidR="00C92770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iznosu od 9.099 kuna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261588">
        <w:rPr>
          <w:rFonts w:ascii="Arial" w:eastAsia="Times New Roman" w:hAnsi="Arial" w:cs="Times New Roman"/>
          <w:i/>
          <w:color w:val="17365D"/>
          <w:sz w:val="20"/>
          <w:szCs w:val="20"/>
          <w:lang w:eastAsia="hr-HR"/>
        </w:rPr>
        <w:t>(tablica 1, zadnji stupac)</w:t>
      </w:r>
      <w:r w:rsidR="00E97F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  <w:r w:rsidR="00AD273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Nešto veća plaća obračunat</w:t>
      </w:r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 je zaposlenima kod poduzetnika u Brodsko-posavskoj i Požeško-slavonskoj županiji, u kojima su prvorangirana društva po visini</w:t>
      </w:r>
      <w:r w:rsidR="00AD273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obračunat</w:t>
      </w:r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e prosječne mjesečne neto plaće, </w:t>
      </w:r>
      <w:r w:rsidR="00F428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veliki poduzetnik </w:t>
      </w:r>
      <w:hyperlink r:id="rId20" w:history="1">
        <w:r w:rsidR="00696CFA" w:rsidRPr="00297DC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ĐURO ĐAKOVIĆ MONTAŽA d.o.o.</w:t>
        </w:r>
      </w:hyperlink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 Slavonskog Broda, s </w:t>
      </w:r>
      <w:r w:rsidR="00696CFA" w:rsidRP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9.863</w:t>
      </w:r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kune i </w:t>
      </w:r>
      <w:r w:rsidR="00F4281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mali poduzetnik </w:t>
      </w:r>
      <w:hyperlink r:id="rId21" w:history="1">
        <w:r w:rsidR="00696CFA" w:rsidRPr="00AD273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COR d.o.o.</w:t>
        </w:r>
      </w:hyperlink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 Požege, s </w:t>
      </w:r>
      <w:r w:rsidR="00696CFA" w:rsidRP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9.925</w:t>
      </w:r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kuna.</w:t>
      </w:r>
    </w:p>
    <w:p w:rsidR="008D7B68" w:rsidRPr="002233F8" w:rsidRDefault="008D7B68" w:rsidP="00E97F8D">
      <w:pPr>
        <w:spacing w:before="180" w:after="0"/>
        <w:jc w:val="both"/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</w:pP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Grafikon 1.</w:t>
      </w: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>Prosječne mjesečne neto plaće zaposlenih kod poduzetnika, u 2016. godini, po županijama</w:t>
      </w:r>
    </w:p>
    <w:p w:rsidR="006F51AA" w:rsidRDefault="00424847" w:rsidP="006F51AA">
      <w:pPr>
        <w:tabs>
          <w:tab w:val="left" w:pos="1134"/>
        </w:tabs>
        <w:spacing w:after="0"/>
        <w:jc w:val="center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noProof/>
          <w:color w:val="17365D"/>
          <w:sz w:val="18"/>
          <w:szCs w:val="18"/>
          <w:lang w:eastAsia="hr-HR"/>
        </w:rPr>
        <w:drawing>
          <wp:inline distT="0" distB="0" distL="0" distR="0" wp14:anchorId="3169E4B1">
            <wp:extent cx="6146358" cy="2303212"/>
            <wp:effectExtent l="0" t="0" r="6985" b="190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46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B68" w:rsidRPr="002233F8" w:rsidRDefault="008D7B68" w:rsidP="0001312C">
      <w:pPr>
        <w:tabs>
          <w:tab w:val="left" w:pos="1134"/>
        </w:tabs>
        <w:spacing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2233F8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Financijska agencija - Registar godišnjih financijskih izvještaja</w:t>
      </w:r>
    </w:p>
    <w:p w:rsidR="00463E66" w:rsidRDefault="00463E66" w:rsidP="00C92770">
      <w:pPr>
        <w:spacing w:before="18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2233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Visina plaće jedan je od ključnih pokazatelja razvijenosti neke regije, županije, grada, općine.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Kako bi na vrijednost prosječne mjesečne neto plaće </w:t>
      </w:r>
      <w:r w:rsidR="0026158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na razini županija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isključili utjecaj velikih i srednjih poduzetnika, čije je sjedište u pravilu u Gradu Zagrebu i 3-4 druge županije, </w:t>
      </w:r>
      <w:r w:rsidR="00696CF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 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svi zaposleni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tim društvima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evidentirani su 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kao zaposleni u sjedištu tvrtke neovisno o tome što mnogi od njih rade na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drugim 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lokacijama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izrađen je pregled </w:t>
      </w:r>
      <w:r w:rsidR="0026158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s prosječnom mjesečnom neto plaćom po veličini 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poduzetnika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(tablica </w:t>
      </w:r>
      <w:r w:rsidR="008D7B6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2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</w:t>
      </w:r>
      <w:r w:rsidRPr="00463E6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</w:p>
    <w:p w:rsidR="00463E66" w:rsidRPr="007F33A7" w:rsidRDefault="00463E66" w:rsidP="00CE0C9A">
      <w:pPr>
        <w:spacing w:before="180" w:after="40" w:line="240" w:lineRule="auto"/>
        <w:ind w:left="1134" w:hanging="1134"/>
        <w:jc w:val="both"/>
        <w:rPr>
          <w:rFonts w:ascii="Arial" w:eastAsia="Times New Roman" w:hAnsi="Arial" w:cs="Times New Roman"/>
          <w:color w:val="17365D"/>
          <w:sz w:val="16"/>
          <w:szCs w:val="18"/>
          <w:lang w:eastAsia="hr-HR"/>
        </w:rPr>
      </w:pPr>
      <w:r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Tablica </w:t>
      </w:r>
      <w:r w:rsidR="008D7B68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2</w:t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Broj poduzetnika i prosječna mjesečna neto plaća zaposlenih kod poduzetnika u 2016. godini, po županijama </w:t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="007F33A7" w:rsidRPr="004C4E5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           </w:t>
      </w:r>
      <w:r w:rsidR="007F33A7" w:rsidRPr="004C4E5B">
        <w:rPr>
          <w:rFonts w:ascii="Arial" w:eastAsia="Times New Roman" w:hAnsi="Arial" w:cs="Times New Roman"/>
          <w:color w:val="17365D"/>
          <w:sz w:val="16"/>
          <w:szCs w:val="18"/>
          <w:lang w:eastAsia="hr-HR"/>
        </w:rPr>
        <w:t>(prosječne plaće u kunama)</w:t>
      </w:r>
    </w:p>
    <w:tbl>
      <w:tblPr>
        <w:tblW w:w="969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0"/>
        <w:gridCol w:w="1267"/>
        <w:gridCol w:w="1147"/>
        <w:gridCol w:w="1251"/>
        <w:gridCol w:w="1251"/>
        <w:gridCol w:w="1251"/>
        <w:gridCol w:w="1251"/>
      </w:tblGrid>
      <w:tr w:rsidR="00D440CB" w:rsidRPr="00463E66" w:rsidTr="00CE0C9A">
        <w:trPr>
          <w:trHeight w:val="283"/>
          <w:tblHeader/>
          <w:jc w:val="center"/>
        </w:trPr>
        <w:tc>
          <w:tcPr>
            <w:tcW w:w="22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D440CB" w:rsidRPr="00E97F8D" w:rsidRDefault="00D440CB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Županija</w:t>
            </w:r>
          </w:p>
        </w:tc>
        <w:tc>
          <w:tcPr>
            <w:tcW w:w="12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D440CB" w:rsidRPr="00E97F8D" w:rsidRDefault="00D440CB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Broj svih poduzetnika</w:t>
            </w:r>
          </w:p>
        </w:tc>
        <w:tc>
          <w:tcPr>
            <w:tcW w:w="11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D440CB" w:rsidRPr="00E97F8D" w:rsidRDefault="00D440CB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Prosječna mjesečna neto plaća</w:t>
            </w:r>
          </w:p>
        </w:tc>
        <w:tc>
          <w:tcPr>
            <w:tcW w:w="500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D440CB" w:rsidRPr="00E97F8D" w:rsidRDefault="00D440CB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Prosječna mjesečna neto plaća</w:t>
            </w:r>
          </w:p>
        </w:tc>
      </w:tr>
      <w:tr w:rsidR="00463E66" w:rsidRPr="00463E66" w:rsidTr="00696CFA">
        <w:trPr>
          <w:trHeight w:val="229"/>
          <w:tblHeader/>
          <w:jc w:val="center"/>
        </w:trPr>
        <w:tc>
          <w:tcPr>
            <w:tcW w:w="22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  <w:hideMark/>
          </w:tcPr>
          <w:p w:rsidR="00463E66" w:rsidRPr="00E97F8D" w:rsidRDefault="00463E66" w:rsidP="0046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267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244061"/>
          </w:tcPr>
          <w:p w:rsidR="00463E66" w:rsidRPr="00E97F8D" w:rsidRDefault="00463E66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147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244061"/>
          </w:tcPr>
          <w:p w:rsidR="00463E66" w:rsidRPr="00E97F8D" w:rsidRDefault="00463E66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463E66" w:rsidRPr="00E97F8D" w:rsidRDefault="00463E66" w:rsidP="001F4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Mikro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  <w:hideMark/>
          </w:tcPr>
          <w:p w:rsidR="00463E66" w:rsidRPr="00E97F8D" w:rsidRDefault="001F4518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Mali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FFFFFF" w:themeColor="background1"/>
            </w:tcBorders>
            <w:shd w:val="clear" w:color="000000" w:fill="244061"/>
            <w:vAlign w:val="center"/>
          </w:tcPr>
          <w:p w:rsidR="00463E66" w:rsidRPr="00E97F8D" w:rsidRDefault="001F4518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Srednji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1"/>
            <w:vAlign w:val="center"/>
          </w:tcPr>
          <w:p w:rsidR="00463E66" w:rsidRPr="00E97F8D" w:rsidRDefault="001F4518" w:rsidP="00463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</w:pPr>
            <w:r w:rsidRPr="00E97F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hr-HR"/>
              </w:rPr>
              <w:t>Veliki</w:t>
            </w:r>
          </w:p>
        </w:tc>
      </w:tr>
      <w:tr w:rsidR="001F4518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1F4518" w:rsidRPr="00463E66" w:rsidRDefault="001F4518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 Bjelovarsko-bilogorska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F4518" w:rsidRPr="00D166DB" w:rsidRDefault="001F4518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1.776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1F4518" w:rsidRPr="00C0490D" w:rsidRDefault="001F4518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3.790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3.177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3.787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4.538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0000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3.850</w:t>
            </w:r>
          </w:p>
        </w:tc>
      </w:tr>
      <w:tr w:rsidR="001F4518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C0490D" w:rsidRPr="00463E66" w:rsidRDefault="00C0490D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 Brodsko-posavska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0490D" w:rsidRPr="00D166DB" w:rsidRDefault="00C0490D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1.849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0490D" w:rsidRPr="00C0490D" w:rsidRDefault="00C0490D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4.564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C0490D" w:rsidRP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F451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3.179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C0490D" w:rsidRPr="001F4518" w:rsidRDefault="001F4518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F4518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4.188</w:t>
            </w:r>
          </w:p>
        </w:tc>
        <w:tc>
          <w:tcPr>
            <w:tcW w:w="1251" w:type="dxa"/>
            <w:tcBorders>
              <w:top w:val="single" w:sz="4" w:space="0" w:color="0000FF"/>
              <w:left w:val="nil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C0490D" w:rsidRPr="00463E66" w:rsidRDefault="001F4518" w:rsidP="007F3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F4518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4.582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C0490D" w:rsidRPr="00166010" w:rsidRDefault="001F4518" w:rsidP="007F33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66010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8.115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 Dubrovačko-neretvan.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3.783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5.233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17365D"/>
                <w:sz w:val="18"/>
                <w:szCs w:val="18"/>
              </w:rPr>
              <w:t>3.905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17365D"/>
                <w:sz w:val="18"/>
                <w:szCs w:val="18"/>
              </w:rPr>
              <w:t>5.428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6.194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7.460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 Grad Zagreb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38.127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6.000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3.788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5.748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6.347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7.185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 Istarska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9.984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5.261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3.812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4.994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5.742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7.009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 Karlovačka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2.027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4.779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3.437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4.395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5.623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6.386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 Koprivničko-križevačka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1.688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4.815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3.112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4.173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4.375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6.534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 Krapinsko-zagorska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1.975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4.354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3.426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4.280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4.574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5.779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 Ličko-senjska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765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4.043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3.515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4.247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5.057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  <w:r w:rsidR="00A158BA">
              <w:rPr>
                <w:rStyle w:val="FootnoteReference"/>
                <w:rFonts w:ascii="Arial" w:hAnsi="Arial" w:cs="Arial"/>
                <w:color w:val="244061" w:themeColor="accent1" w:themeShade="80"/>
                <w:sz w:val="18"/>
                <w:szCs w:val="18"/>
              </w:rPr>
              <w:footnoteReference w:id="1"/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 Međimurska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2.983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4.149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3.293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3.975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5.100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4.210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 Osječko-baranjska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4.764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4.134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3.158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4.162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4.659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5.211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12. Požeško-slavonska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828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3.883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3.164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3.942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4.225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4.239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13. Primorsko-goranska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9.689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5.032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4.257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5.354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5.648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5.350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14. Sisačko-moslavačka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1.925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4.187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3.251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4.287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5.206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4.374</w:t>
            </w:r>
          </w:p>
        </w:tc>
      </w:tr>
      <w:tr w:rsidR="007F33A7" w:rsidRPr="00463E66" w:rsidTr="002D335E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 Splitsko-dalmatinska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12.725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4.509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3.627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4.638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5.515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5.078</w:t>
            </w:r>
          </w:p>
        </w:tc>
      </w:tr>
      <w:tr w:rsidR="007F33A7" w:rsidRPr="00463E66" w:rsidTr="002D335E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16. Šibensko-kninska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2.228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4.827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3.951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4.727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6.173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5.651</w:t>
            </w:r>
          </w:p>
        </w:tc>
      </w:tr>
      <w:tr w:rsidR="007F33A7" w:rsidRPr="00463E66" w:rsidTr="002D335E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17. Varaždinska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3.488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4.152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3.555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4.447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4.266</w:t>
            </w:r>
          </w:p>
        </w:tc>
      </w:tr>
      <w:tr w:rsidR="007F33A7" w:rsidRPr="00463E66" w:rsidTr="002D335E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18. Virovitičko-podravska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1.000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3.639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3.171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3.650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4.364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3.392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19. Vukovarsko-srijemska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1.755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3.783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3.221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3.805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4.504</w:t>
            </w:r>
          </w:p>
        </w:tc>
        <w:tc>
          <w:tcPr>
            <w:tcW w:w="1251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3.659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20. Zadarska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3.918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4.852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3.542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4.618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5.718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7.510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21. Zagrebačka</w:t>
            </w:r>
          </w:p>
        </w:tc>
        <w:tc>
          <w:tcPr>
            <w:tcW w:w="1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3A7" w:rsidRPr="00D166DB" w:rsidRDefault="007F33A7" w:rsidP="00D166DB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166D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7.206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color w:val="17365D"/>
                <w:sz w:val="18"/>
                <w:szCs w:val="18"/>
              </w:rPr>
              <w:t>5.183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3.431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4.782</w:t>
            </w:r>
          </w:p>
        </w:tc>
        <w:tc>
          <w:tcPr>
            <w:tcW w:w="125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5.953</w:t>
            </w:r>
          </w:p>
        </w:tc>
        <w:tc>
          <w:tcPr>
            <w:tcW w:w="12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7.839</w:t>
            </w:r>
          </w:p>
        </w:tc>
      </w:tr>
      <w:tr w:rsidR="007F33A7" w:rsidRPr="00463E66" w:rsidTr="00696CFA">
        <w:trPr>
          <w:trHeight w:val="283"/>
          <w:jc w:val="center"/>
        </w:trPr>
        <w:tc>
          <w:tcPr>
            <w:tcW w:w="2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F33A7" w:rsidRPr="00463E66" w:rsidRDefault="007F33A7" w:rsidP="0046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63E66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Hrvatska</w:t>
            </w:r>
          </w:p>
        </w:tc>
        <w:tc>
          <w:tcPr>
            <w:tcW w:w="12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F33A7" w:rsidRPr="007C29C0" w:rsidRDefault="007F33A7" w:rsidP="007C29C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7C29C0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114.483</w:t>
            </w:r>
          </w:p>
        </w:tc>
        <w:tc>
          <w:tcPr>
            <w:tcW w:w="11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7F33A7" w:rsidRPr="00C0490D" w:rsidRDefault="007F33A7" w:rsidP="00A158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C0490D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5.140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7F33A7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3.647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noWrap/>
            <w:vAlign w:val="center"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4.903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5.603</w:t>
            </w:r>
          </w:p>
        </w:tc>
        <w:tc>
          <w:tcPr>
            <w:tcW w:w="1251" w:type="dxa"/>
            <w:tcBorders>
              <w:top w:val="single" w:sz="4" w:space="0" w:color="0000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F33A7" w:rsidRPr="007F33A7" w:rsidRDefault="007F33A7" w:rsidP="007F33A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7F33A7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6.540</w:t>
            </w:r>
          </w:p>
        </w:tc>
      </w:tr>
    </w:tbl>
    <w:p w:rsidR="00752DDC" w:rsidRDefault="00752DDC" w:rsidP="00752DDC">
      <w:pPr>
        <w:spacing w:before="40"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2233F8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Financijska agencija - Registar godišnjih financijskih izvještaja</w:t>
      </w:r>
    </w:p>
    <w:p w:rsidR="00A85B1B" w:rsidRDefault="00F42812" w:rsidP="002D335E">
      <w:pPr>
        <w:spacing w:before="180" w:after="0"/>
        <w:ind w:firstLine="6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F428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prosječne mjesečne neto plaće zaposlenih kod poduzetnika na razini županija, po veličini poduzetnika, pokazala je da su veliki poduzetnici u većini županija, njih 11, obračunali zaposlenima najveću prosječnu mjesečnu neto plaću, dok su srednji poduzetnici obračunali najveću prosječnu mjesečnu neto plaću na razini devet županija, a samo u Varaždinskoj županiji najveću prosječnu mjesečnu neto plaću obračunali </w:t>
      </w:r>
      <w:r w:rsidR="00C9277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Pr="00F428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mali poduzetnici (tablica 2).</w:t>
      </w:r>
      <w:r w:rsidRPr="00F42812">
        <w:rPr>
          <w:rFonts w:ascii="Arial" w:hAnsi="Arial" w:cs="Arial"/>
          <w:color w:val="244061" w:themeColor="accent1" w:themeShade="80"/>
          <w:sz w:val="20"/>
          <w:szCs w:val="20"/>
        </w:rPr>
        <w:t xml:space="preserve"> Među njima, najveću prosječnu mjesečnu neto plaću obračunao </w:t>
      </w:r>
      <w:r w:rsidR="00C92770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Pr="00F42812">
        <w:rPr>
          <w:rFonts w:ascii="Arial" w:hAnsi="Arial" w:cs="Arial"/>
          <w:color w:val="244061" w:themeColor="accent1" w:themeShade="80"/>
          <w:sz w:val="20"/>
          <w:szCs w:val="20"/>
        </w:rPr>
        <w:t xml:space="preserve">mali poduzetnik </w:t>
      </w:r>
      <w:r w:rsidR="00CE0C9A">
        <w:rPr>
          <w:rFonts w:ascii="Arial" w:hAnsi="Arial" w:cs="Arial"/>
          <w:color w:val="244061" w:themeColor="accent1" w:themeShade="80"/>
          <w:sz w:val="20"/>
          <w:szCs w:val="20"/>
        </w:rPr>
        <w:t xml:space="preserve">sa 23 zaposlena, </w:t>
      </w:r>
      <w:hyperlink r:id="rId23" w:history="1">
        <w:r w:rsidRPr="00AC032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FARMAL d.d.</w:t>
        </w:r>
      </w:hyperlink>
      <w:r w:rsidRPr="00F428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Varaždina, u iznosu od 13.056 kuna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</w:p>
    <w:p w:rsidR="00CA0351" w:rsidRDefault="00CA0351" w:rsidP="00CA0351">
      <w:pPr>
        <w:spacing w:before="120" w:after="0"/>
        <w:ind w:firstLine="6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Najveća prosječna mjesečna neto plaća zaposlenima kod mikro poduzetnika promatrano na razini županija, obračunali su mikro poduzetnici Primorsko-goranske županije u iznosu od 4.257 kuna, a među njima najveća plaća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k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od poduzetnika s 10 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 više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zaposlenih</w:t>
      </w:r>
      <w:r w:rsidR="00CE0C9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obračuna</w:t>
      </w:r>
      <w:r w:rsidR="00667B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t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 je zaposlenima u društvu </w:t>
      </w:r>
      <w:hyperlink r:id="rId24" w:history="1">
        <w:r w:rsidR="00667B13" w:rsidRPr="00AD273A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SEAQUEST SHIPMANAGEMENT d.o.o.</w:t>
        </w:r>
      </w:hyperlink>
      <w:r w:rsidR="00CE0C9A">
        <w:rPr>
          <w:rStyle w:val="Hyperlink"/>
          <w:rFonts w:ascii="Arial" w:eastAsia="Times New Roman" w:hAnsi="Arial" w:cs="Times New Roman"/>
          <w:sz w:val="20"/>
          <w:szCs w:val="20"/>
          <w:lang w:eastAsia="hr-HR"/>
        </w:rPr>
        <w:t>,</w:t>
      </w:r>
      <w:r w:rsidR="00667B1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iznosu od 9.047 kuna.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</w:p>
    <w:p w:rsidR="00DD7924" w:rsidRPr="00DD7924" w:rsidRDefault="00DD7924" w:rsidP="00862D84">
      <w:pPr>
        <w:spacing w:before="120" w:after="0"/>
        <w:jc w:val="both"/>
        <w:rPr>
          <w:rFonts w:ascii="Arial" w:eastAsia="Calibri" w:hAnsi="Arial" w:cs="Arial"/>
          <w:i/>
          <w:color w:val="244061"/>
          <w:sz w:val="19"/>
          <w:szCs w:val="19"/>
        </w:rPr>
      </w:pPr>
      <w:r w:rsidRPr="00DD7924">
        <w:rPr>
          <w:rFonts w:ascii="Arial" w:eastAsia="Calibri" w:hAnsi="Arial" w:cs="Arial"/>
          <w:i/>
          <w:color w:val="244061"/>
          <w:sz w:val="19"/>
          <w:szCs w:val="19"/>
        </w:rPr>
        <w:t>Svi podaci prikupljeni su i obrađeni prema sjedištu poduzetnika, iako se poslovanje određenog broja poduzetnika odvija i na drugim područjima izvan njihova sjedišta. Bez obzira na ovo ograničenje, prezentirani podaci daju dobar pregled prosječnih mjesečnih neto plaća zaposlenih kod poduzetnika promatrano na razini županija.</w:t>
      </w:r>
    </w:p>
    <w:p w:rsidR="00F42812" w:rsidRDefault="00F42812" w:rsidP="00F42812">
      <w:pPr>
        <w:pBdr>
          <w:top w:val="single" w:sz="12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</w:p>
    <w:p w:rsidR="00070999" w:rsidRPr="008A1DAB" w:rsidRDefault="00070999" w:rsidP="00F42812">
      <w:pPr>
        <w:pBdr>
          <w:top w:val="single" w:sz="12" w:space="1" w:color="auto"/>
        </w:pBdr>
        <w:spacing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8A1DA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5" w:history="1">
        <w:r w:rsidRPr="008A1DAB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8A1DA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</w:t>
      </w: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6</w:t>
      </w:r>
      <w:r w:rsidRPr="008A1DA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. godini.</w:t>
      </w:r>
    </w:p>
    <w:p w:rsidR="00070999" w:rsidRPr="008A1DAB" w:rsidRDefault="00070999" w:rsidP="00070999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8A1DAB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8A1DAB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26" w:history="1">
        <w:r w:rsidRPr="008A1DAB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8A1DAB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8A1DAB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8A1DAB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7" w:history="1">
        <w:r w:rsidRPr="008A1DAB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8A1DAB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8A1DAB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8A1DAB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28" w:history="1">
        <w:r w:rsidRPr="008A1DAB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</w:p>
    <w:p w:rsidR="00070999" w:rsidRPr="008A1DAB" w:rsidRDefault="00070999" w:rsidP="00070999">
      <w:pPr>
        <w:pBdr>
          <w:top w:val="single" w:sz="12" w:space="1" w:color="auto"/>
        </w:pBdr>
        <w:spacing w:before="120" w:after="12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  <w:r w:rsidRPr="008A1DAB">
        <w:rPr>
          <w:rFonts w:ascii="Arial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29" w:history="1">
        <w:r w:rsidRPr="008A1DAB">
          <w:rPr>
            <w:rStyle w:val="Hyperlink"/>
            <w:rFonts w:ascii="Arial" w:hAnsi="Arial" w:cs="Arial"/>
            <w:bCs/>
            <w:i/>
            <w:sz w:val="17"/>
            <w:szCs w:val="17"/>
          </w:rPr>
          <w:t>FINA InfoBlokade</w:t>
        </w:r>
      </w:hyperlink>
      <w:r w:rsidRPr="008A1DAB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30" w:history="1">
        <w:r w:rsidRPr="008A1DAB">
          <w:rPr>
            <w:rStyle w:val="Hyperlink"/>
            <w:rFonts w:ascii="Arial" w:hAnsi="Arial" w:cs="Arial"/>
            <w:bCs/>
            <w:i/>
            <w:sz w:val="17"/>
            <w:szCs w:val="17"/>
          </w:rPr>
          <w:t>WEB aplikacije JRR</w:t>
        </w:r>
      </w:hyperlink>
      <w:r w:rsidRPr="008A1DAB">
        <w:rPr>
          <w:rFonts w:ascii="Arial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1" w:history="1">
        <w:r w:rsidRPr="008A1DAB">
          <w:rPr>
            <w:rFonts w:ascii="Arial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8A1DAB">
        <w:rPr>
          <w:rFonts w:ascii="Arial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tbl>
      <w:tblPr>
        <w:tblW w:w="924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2606"/>
        <w:gridCol w:w="3348"/>
      </w:tblGrid>
      <w:tr w:rsidR="00070999" w:rsidRPr="00AD6358" w:rsidTr="00A158BA">
        <w:trPr>
          <w:trHeight w:val="1616"/>
          <w:jc w:val="center"/>
        </w:trPr>
        <w:tc>
          <w:tcPr>
            <w:tcW w:w="3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070999" w:rsidRPr="00AD6358" w:rsidRDefault="00070999" w:rsidP="00A158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>
                  <wp:extent cx="1781175" cy="1471295"/>
                  <wp:effectExtent l="0" t="0" r="9525" b="0"/>
                  <wp:docPr id="5" name="Slika 5" descr="Fina info šasija_210x270.jpg">
                    <a:hlinkClick xmlns:a="http://schemas.openxmlformats.org/drawingml/2006/main" r:id="rId32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070999" w:rsidRPr="00AD6358" w:rsidRDefault="00070999" w:rsidP="00A158B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Cs w:val="19"/>
                <w:lang w:eastAsia="hr-HR"/>
              </w:rPr>
              <w:drawing>
                <wp:inline distT="0" distB="0" distL="0" distR="0">
                  <wp:extent cx="1566545" cy="1574165"/>
                  <wp:effectExtent l="0" t="0" r="0" b="6985"/>
                  <wp:docPr id="4" name="Sli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070999" w:rsidRPr="00AD6358" w:rsidRDefault="00070999" w:rsidP="00A158BA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>
                  <wp:extent cx="2051685" cy="1478915"/>
                  <wp:effectExtent l="0" t="0" r="5715" b="6985"/>
                  <wp:docPr id="1" name="Slika 1" descr="smsBlokade_210x270.jpg">
                    <a:hlinkClick xmlns:a="http://schemas.openxmlformats.org/drawingml/2006/main" r:id="rId35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314F" w:rsidRDefault="003A314F" w:rsidP="00752DDC">
      <w:pPr>
        <w:spacing w:before="40"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</w:p>
    <w:p w:rsidR="003A314F" w:rsidRDefault="003A314F" w:rsidP="00752DDC">
      <w:pPr>
        <w:spacing w:before="40"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</w:p>
    <w:sectPr w:rsidR="003A314F" w:rsidSect="00752DDC">
      <w:headerReference w:type="first" r:id="rId37"/>
      <w:type w:val="continuous"/>
      <w:pgSz w:w="11906" w:h="16838" w:code="9"/>
      <w:pgMar w:top="1021" w:right="1021" w:bottom="1021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E1" w:rsidRDefault="003A30E1" w:rsidP="002233F8">
      <w:pPr>
        <w:spacing w:after="0" w:line="240" w:lineRule="auto"/>
      </w:pPr>
      <w:r>
        <w:separator/>
      </w:r>
    </w:p>
  </w:endnote>
  <w:endnote w:type="continuationSeparator" w:id="0">
    <w:p w:rsidR="003A30E1" w:rsidRDefault="003A30E1" w:rsidP="002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E1" w:rsidRDefault="003A30E1" w:rsidP="002233F8">
      <w:pPr>
        <w:spacing w:after="0" w:line="240" w:lineRule="auto"/>
      </w:pPr>
      <w:r>
        <w:separator/>
      </w:r>
    </w:p>
  </w:footnote>
  <w:footnote w:type="continuationSeparator" w:id="0">
    <w:p w:rsidR="003A30E1" w:rsidRDefault="003A30E1" w:rsidP="002233F8">
      <w:pPr>
        <w:spacing w:after="0" w:line="240" w:lineRule="auto"/>
      </w:pPr>
      <w:r>
        <w:continuationSeparator/>
      </w:r>
    </w:p>
  </w:footnote>
  <w:footnote w:id="1">
    <w:p w:rsidR="00BA0E80" w:rsidRPr="00696CFA" w:rsidRDefault="00BA0E80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696CFA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696CFA">
        <w:rPr>
          <w:rFonts w:ascii="Arial" w:hAnsi="Arial" w:cs="Arial"/>
          <w:color w:val="244061" w:themeColor="accent1" w:themeShade="80"/>
          <w:sz w:val="17"/>
          <w:szCs w:val="17"/>
        </w:rPr>
        <w:t xml:space="preserve"> U Ličko-senjskoj županiji u 2016. godini nema velikih poduzetnika sa sjedištem u toj županiji.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E80" w:rsidRDefault="00BA0E8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9D144D4" wp14:editId="1C4A7A58">
          <wp:simplePos x="0" y="0"/>
          <wp:positionH relativeFrom="column">
            <wp:posOffset>-132157</wp:posOffset>
          </wp:positionH>
          <wp:positionV relativeFrom="paragraph">
            <wp:posOffset>-123444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F8"/>
    <w:rsid w:val="00002790"/>
    <w:rsid w:val="0001312C"/>
    <w:rsid w:val="000644F5"/>
    <w:rsid w:val="00070999"/>
    <w:rsid w:val="00166010"/>
    <w:rsid w:val="00193F22"/>
    <w:rsid w:val="001F4518"/>
    <w:rsid w:val="00207396"/>
    <w:rsid w:val="002233F8"/>
    <w:rsid w:val="0025128C"/>
    <w:rsid w:val="00254399"/>
    <w:rsid w:val="00256A00"/>
    <w:rsid w:val="00261588"/>
    <w:rsid w:val="002779CA"/>
    <w:rsid w:val="00277CA3"/>
    <w:rsid w:val="002827CA"/>
    <w:rsid w:val="00297DC7"/>
    <w:rsid w:val="002D335E"/>
    <w:rsid w:val="003646CD"/>
    <w:rsid w:val="00366EFC"/>
    <w:rsid w:val="003A30E1"/>
    <w:rsid w:val="003A314F"/>
    <w:rsid w:val="00424847"/>
    <w:rsid w:val="00463E66"/>
    <w:rsid w:val="004B6F97"/>
    <w:rsid w:val="004C4E5B"/>
    <w:rsid w:val="004E6F7A"/>
    <w:rsid w:val="00505AE4"/>
    <w:rsid w:val="005802AF"/>
    <w:rsid w:val="005919CF"/>
    <w:rsid w:val="0059717A"/>
    <w:rsid w:val="005C5DD6"/>
    <w:rsid w:val="00667B13"/>
    <w:rsid w:val="00696CFA"/>
    <w:rsid w:val="006F51AA"/>
    <w:rsid w:val="00752DDC"/>
    <w:rsid w:val="007A12D2"/>
    <w:rsid w:val="007C29C0"/>
    <w:rsid w:val="007C4838"/>
    <w:rsid w:val="007F33A7"/>
    <w:rsid w:val="00816012"/>
    <w:rsid w:val="008248D1"/>
    <w:rsid w:val="00862D84"/>
    <w:rsid w:val="008C2BC9"/>
    <w:rsid w:val="008D6B2C"/>
    <w:rsid w:val="008D7B68"/>
    <w:rsid w:val="009309CF"/>
    <w:rsid w:val="00951D62"/>
    <w:rsid w:val="009D124D"/>
    <w:rsid w:val="009D1DD4"/>
    <w:rsid w:val="00A158BA"/>
    <w:rsid w:val="00A2682A"/>
    <w:rsid w:val="00A5551D"/>
    <w:rsid w:val="00A84EDF"/>
    <w:rsid w:val="00A85B1B"/>
    <w:rsid w:val="00AC032B"/>
    <w:rsid w:val="00AD273A"/>
    <w:rsid w:val="00AF16B4"/>
    <w:rsid w:val="00B15CF5"/>
    <w:rsid w:val="00B42C86"/>
    <w:rsid w:val="00B630CB"/>
    <w:rsid w:val="00BA0E80"/>
    <w:rsid w:val="00C0490D"/>
    <w:rsid w:val="00C073BA"/>
    <w:rsid w:val="00C30CC2"/>
    <w:rsid w:val="00C838AB"/>
    <w:rsid w:val="00C92770"/>
    <w:rsid w:val="00CA0351"/>
    <w:rsid w:val="00CE0C9A"/>
    <w:rsid w:val="00D01DFF"/>
    <w:rsid w:val="00D166DB"/>
    <w:rsid w:val="00D440CB"/>
    <w:rsid w:val="00D6471D"/>
    <w:rsid w:val="00DB5805"/>
    <w:rsid w:val="00DD7924"/>
    <w:rsid w:val="00E51F24"/>
    <w:rsid w:val="00E75DF3"/>
    <w:rsid w:val="00E97F8D"/>
    <w:rsid w:val="00F12311"/>
    <w:rsid w:val="00F14D43"/>
    <w:rsid w:val="00F30821"/>
    <w:rsid w:val="00F37013"/>
    <w:rsid w:val="00F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8"/>
  </w:style>
  <w:style w:type="paragraph" w:styleId="Footer">
    <w:name w:val="footer"/>
    <w:basedOn w:val="Normal"/>
    <w:link w:val="FooterChar"/>
    <w:uiPriority w:val="99"/>
    <w:unhideWhenUsed/>
    <w:rsid w:val="0022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8"/>
  </w:style>
  <w:style w:type="character" w:styleId="CommentReference">
    <w:name w:val="annotation reference"/>
    <w:basedOn w:val="DefaultParagraphFont"/>
    <w:uiPriority w:val="99"/>
    <w:semiHidden/>
    <w:unhideWhenUsed/>
    <w:rsid w:val="00D0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DF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709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79C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8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8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8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F8"/>
  </w:style>
  <w:style w:type="paragraph" w:styleId="Footer">
    <w:name w:val="footer"/>
    <w:basedOn w:val="Normal"/>
    <w:link w:val="FooterChar"/>
    <w:uiPriority w:val="99"/>
    <w:unhideWhenUsed/>
    <w:rsid w:val="0022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F8"/>
  </w:style>
  <w:style w:type="character" w:styleId="CommentReference">
    <w:name w:val="annotation reference"/>
    <w:basedOn w:val="DefaultParagraphFont"/>
    <w:uiPriority w:val="99"/>
    <w:semiHidden/>
    <w:unhideWhenUsed/>
    <w:rsid w:val="00D0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DF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0709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79C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8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8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14049708426/cea3c981620e6477482c1a9d396aee6a3c9e1aaedc47eb329999b8efe9765400df660404ba7c7ffc52ae8b0fea24a4f6fc4678f74d502bb5657ff1d53557bd9e" TargetMode="External"/><Relationship Id="rId18" Type="http://schemas.openxmlformats.org/officeDocument/2006/relationships/hyperlink" Target="https://www.transparentno.hr/pregled/80479541494/afd58ef6f73bd026e00d6fefbfbb12d2e78aeef54e0f9f302524cdb06634cd98e62a0dc29964204531da48c81c462fe40ba026ae4b080b2e3a63baddbe9aa565" TargetMode="External"/><Relationship Id="rId26" Type="http://schemas.openxmlformats.org/officeDocument/2006/relationships/hyperlink" Target="http://rgfi.fina.hr/JavnaObjava-web/jsp/prijavaKorisnika.jsp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transparentno.hr/pregled/95858285634/d080bf3b8e321d2531c986bb5819f232c168783cc077bbf576e920f6cb4697a438d2347447ab5367f35a9afc685323ed20068d97ea801813fc0fcd43eec6a5c6" TargetMode="External"/><Relationship Id="rId34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07778064485/a9b352db8ec4fe2b27ea9e5954efc7498098fb705ef38bc4446f3298bebf84b1a6e44e6df9dfd981800ec2b324bbc5e1b16725b77f4b456285f6075a072a9248" TargetMode="External"/><Relationship Id="rId17" Type="http://schemas.openxmlformats.org/officeDocument/2006/relationships/hyperlink" Target="https://www.transparentno.hr/pregled/97617417987/e4cdc23f0eb9c525a20f9338d7bae84d419a727a234170500d486f55bcc2465009afd9f950487a6c7e6d5d22dd9e067073d54ba34c02b6c5fc3f382add01fe97" TargetMode="External"/><Relationship Id="rId25" Type="http://schemas.openxmlformats.org/officeDocument/2006/relationships/hyperlink" Target="http://www.fina.hr/Default.aspx?sec=1279" TargetMode="External"/><Relationship Id="rId33" Type="http://schemas.openxmlformats.org/officeDocument/2006/relationships/image" Target="media/image2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17099237397/e42e09b23d2a522fdf353edbc2e5d5d1af20563a01e20ac6676e55b29b016745f50e8a10ca3a338faeffd76240565e239f83bab3eca8073c636790afe96c5a65" TargetMode="External"/><Relationship Id="rId20" Type="http://schemas.openxmlformats.org/officeDocument/2006/relationships/hyperlink" Target="https://www.transparentno.hr/pregled/59126265572/0ad343ed942741c4c701e0a307e2b1dc2d6bd85ec57adcff7c2ce6b8ef4f5e0c2062118874866931621106bf50df080cc2556cd6d04bf17aa4e4b6c816e18d14" TargetMode="External"/><Relationship Id="rId29" Type="http://schemas.openxmlformats.org/officeDocument/2006/relationships/hyperlink" Target="http://www.fina.hr/Default.aspx?sec=15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39410844220/d96a0e3707037584c560372f7ee09b9fc24c4cd533b3bf26a3bd5a13bff921e66cfd2d14e1f14546a04d1b5f35338ddd347c31d02fc3354aeac337a7b9f69863" TargetMode="External"/><Relationship Id="rId24" Type="http://schemas.openxmlformats.org/officeDocument/2006/relationships/hyperlink" Target="https://www.transparentno.hr/pregled/72457235049/0f89dae38a29075e17ccb69afec905a6680873aa39f13c7c2f4ad7e64ef06db982debe700e639bf82164e7e39d0957024da846dbb9056f9266aed70cabc78301" TargetMode="External"/><Relationship Id="rId32" Type="http://schemas.openxmlformats.org/officeDocument/2006/relationships/hyperlink" Target="http://www.fina.hr/Default.aspx?sec=17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71762969400/00e7eb82373878257c006d0eea9fe3ec98f8ee78ed67478de4e39198757d6c9d31fc97f066639e8d726432662c22487ae98c3ce25701eed8489e0d4aeb275786" TargetMode="External"/><Relationship Id="rId23" Type="http://schemas.openxmlformats.org/officeDocument/2006/relationships/hyperlink" Target="https://www.transparentno.hr/pregled/51798814808/506735faaf9d72fd4e31d7b6ee3711b476edc422a2e5a35eb08d1be74ddfb9846493373fa56b8492b7266828c3f3b069acdb6c7e655eb35e6e56e9f1553cd58b" TargetMode="External"/><Relationship Id="rId28" Type="http://schemas.openxmlformats.org/officeDocument/2006/relationships/hyperlink" Target="http://www.fina.hr/Default.aspx?art=8958&amp;sec=1275" TargetMode="External"/><Relationship Id="rId36" Type="http://schemas.openxmlformats.org/officeDocument/2006/relationships/image" Target="media/image4.jpeg"/><Relationship Id="rId10" Type="http://schemas.openxmlformats.org/officeDocument/2006/relationships/hyperlink" Target="https://www.transparentno.hr/pregled/70701453330/2f5f1b48fab10f1ceea03d22389c1eade4cf2d98898ff811205d317c97a0104c531a60fb01e1c9c2d39f8c920c2e4f1b8382b1e87bdc044ab4c19d344db8a773" TargetMode="External"/><Relationship Id="rId19" Type="http://schemas.openxmlformats.org/officeDocument/2006/relationships/hyperlink" Target="https://www.transparentno.hr/pregled/82962748709/639361bfe10ac0ec68affa87d5b167a6f64d76d8adcf02021c74fa8b265cc71989ed0bb59251f4b8bf74f84a9d5f0efb0026bea92000b45ac8295ba8b88d83b9" TargetMode="External"/><Relationship Id="rId31" Type="http://schemas.openxmlformats.org/officeDocument/2006/relationships/hyperlink" Target="http://www.fina.hr/Default.aspx?sec=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57802034237/5e5bb299c0e825f2423acd9352fc7ee7470ec00f9661755fc045c2867b474c71060e60d096f4d1de4dbdda8d9e8728c2180ab3f64b2ec350def33d4f6f30fdff" TargetMode="External"/><Relationship Id="rId14" Type="http://schemas.openxmlformats.org/officeDocument/2006/relationships/hyperlink" Target="https://www.transparentno.hr/pregled/78608890872/4dcbd9d0bb76ec1e366de433f35e344903a62a464b88e9344cb6704ed3c9e90c48dca60da52857b6a0b1ddda1bdcb5478436fff2e9859ce55ef33ac50103259a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www.transparentno.hr/" TargetMode="External"/><Relationship Id="rId30" Type="http://schemas.openxmlformats.org/officeDocument/2006/relationships/hyperlink" Target="https://jrr.fina.hr/jrir/" TargetMode="External"/><Relationship Id="rId35" Type="http://schemas.openxmlformats.org/officeDocument/2006/relationships/hyperlink" Target="http://www.fina.hr/lgs.axd?t=24&amp;id=15" TargetMode="External"/><Relationship Id="rId8" Type="http://schemas.openxmlformats.org/officeDocument/2006/relationships/hyperlink" Target="https://www.transparentno.hr/pregled/27241901077/5f358bcb129628c0a9ca7dab6c3ffebcd3b29ce3fbe1912ec7aa91b051d2b829c3c878bc70a624a8dda2579a0a9efbf80f9ba1ac95fcc245318d9a4b6090682a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DE8F-E718-4D19-BE6D-0BCDC755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2078</Words>
  <Characters>11847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2018-03-26T13:31:00Z</dcterms:created>
  <dcterms:modified xsi:type="dcterms:W3CDTF">2018-03-26T13:31:00Z</dcterms:modified>
</cp:coreProperties>
</file>