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A52E8A" w:rsidRDefault="00F47876" w:rsidP="007130FF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D5437F"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U DJELATNOSTI TELEKOMUNIKACIJA</w:t>
      </w:r>
      <w:r w:rsidR="005D6F21"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</w:t>
      </w:r>
      <w:r w:rsidR="00122732"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U 201</w:t>
      </w:r>
      <w:r w:rsidR="00701BCE"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6</w:t>
      </w:r>
      <w:r w:rsidR="00122732"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</w:t>
      </w:r>
      <w:r w:rsidR="00870449"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G</w:t>
      </w:r>
      <w:r w:rsidR="00913A18"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OD</w:t>
      </w:r>
      <w:r w:rsidR="00D5437F" w:rsidRPr="005565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INI</w:t>
      </w:r>
    </w:p>
    <w:p w:rsidR="00183AF6" w:rsidRDefault="00B1113C" w:rsidP="009F2CEB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1113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Prema podacima iz godišnjih financijskih izvještaja za statističke i druge potrebe za 2016. godinu, poduzetnici čija je pretežita djelatnost 61 - Telekomunikacije, poslovali su pozitivno i ostvarili </w:t>
      </w:r>
      <w:r w:rsidR="00183AF6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neto dobiti </w:t>
      </w:r>
      <w:r w:rsidR="001420A0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</w:t>
      </w:r>
      <w:r w:rsidR="00183AF6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</w:t>
      </w:r>
      <w:r w:rsidR="00006B85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1,1</w:t>
      </w:r>
      <w:r w:rsidR="00183AF6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06B85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milijardu</w:t>
      </w:r>
      <w:r w:rsidR="00183AF6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4C3952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183AF6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što je u odnosu na </w:t>
      </w:r>
      <w:r w:rsidR="00D1730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2015. godinu</w:t>
      </w:r>
      <w:r w:rsidR="00183AF6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3952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="00183AF6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E753B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</w:t>
      </w:r>
      <w:r w:rsidR="00183AF6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06B85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4,0</w:t>
      </w:r>
      <w:r w:rsidR="007B456F" w:rsidRPr="001939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83AF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Zabiljež</w:t>
      </w:r>
      <w:r w:rsidR="00CD6D82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en je p</w:t>
      </w:r>
      <w:r w:rsidR="00701BCE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ad</w:t>
      </w:r>
      <w:r w:rsidR="00CD6D82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broja zaposlenih za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2,1</w:t>
      </w:r>
      <w:r w:rsidR="007B456F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D63C70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 ukupnih prihoda za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2,7</w:t>
      </w:r>
      <w:r w:rsidR="007B456F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F852D2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povećanje ukupnih rashoda za 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2,4</w:t>
      </w:r>
      <w:r w:rsidR="007B456F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25F6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E3992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povećanje</w:t>
      </w:r>
      <w:r w:rsidR="00520229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dobiti razdoblja za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2,5</w:t>
      </w:r>
      <w:r w:rsidR="007B456F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0520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te</w:t>
      </w:r>
      <w:r w:rsidR="00052059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01BCE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="00520229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gubitka razdoblja </w:t>
      </w:r>
      <w:r w:rsidR="00701BCE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</w:t>
      </w:r>
      <w:r w:rsidR="00701BCE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,4</w:t>
      </w:r>
      <w:r w:rsidR="007B456F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122AD5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što je rezultiralo </w:t>
      </w:r>
      <w:r w:rsidR="00122AD5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povećanjem neto dobiti u 201</w:t>
      </w:r>
      <w:r w:rsidR="00701BCE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godini.</w:t>
      </w:r>
      <w:r w:rsidR="00FF6ACC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 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282 poduzetnika u odjeljku, 67,0 %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duzetnika </w:t>
      </w:r>
      <w:r w:rsidR="00FF6ACC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poslovalo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="00FF6ACC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dobiti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FF6ACC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520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dok je</w:t>
      </w:r>
      <w:r w:rsidR="00052059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33,0 %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89395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skaza</w:t>
      </w:r>
      <w:r w:rsidR="00E1039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lo </w:t>
      </w:r>
      <w:r w:rsidR="00893956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</w:t>
      </w:r>
      <w:r w:rsidR="0060798D" w:rsidRPr="00A0405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razdoblja.</w:t>
      </w:r>
    </w:p>
    <w:p w:rsidR="00366E16" w:rsidRPr="00366E16" w:rsidRDefault="00366E16" w:rsidP="00366E16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B3B2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Usporedba rezultata poduzetnika u četiri navedene skupine djelatnosti (tablica 1), pokazala je da su ukupnim financijskim rezultatima najviše doprinijeli poduzetnici u djelatnosti žičane telekomunikacije (61.1), koji su ostvarili neto dobit u iznosu od 938,6 milijuna kuna, zapošljavali 67,3 % radnika</w:t>
      </w:r>
      <w:r w:rsidR="000217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te</w:t>
      </w:r>
      <w:r w:rsidR="00403CA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BB3B2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59,6 % ukupnih prihoda </w:t>
      </w:r>
      <w:r w:rsidR="000217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02176E" w:rsidRPr="00BB3B2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BB3B2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56,3 % ukupnih rashoda svih poduzetnika u djelatnosti telekomunikacija (NKD 61). Najveću dobit razdoblja u ovoj skupini djelatnosti ostvarilo je društvo </w:t>
      </w:r>
      <w:hyperlink r:id="rId9" w:history="1">
        <w:r w:rsidR="009746A8" w:rsidRPr="0046742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Hrvatski Telekom</w:t>
        </w:r>
        <w:r w:rsidRPr="0046742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d.d.</w:t>
        </w:r>
      </w:hyperlink>
      <w:r w:rsidR="009746A8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Pr="00BB3B2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od 908,8 milijuna kuna, što je </w:t>
      </w:r>
      <w:r w:rsidR="00FC5C5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ujedno </w:t>
      </w:r>
      <w:r w:rsidRPr="00BB3B2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93,5 % dobiti razdoblja svih poduzetnika skupine.</w:t>
      </w:r>
      <w:r w:rsidRPr="00366E1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4F7A04" w:rsidRDefault="004F7A04" w:rsidP="00152641">
      <w:pPr>
        <w:tabs>
          <w:tab w:val="left" w:pos="1134"/>
          <w:tab w:val="left" w:pos="7740"/>
        </w:tabs>
        <w:spacing w:before="120" w:after="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1. </w:t>
      </w:r>
      <w:r w:rsidR="0072575A"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3316EE"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Osnovni financijski rezultati poslovanja poduzetnika u odjeljku djelatnosti 61 – Telekomunikacije</w:t>
      </w:r>
      <w:r w:rsidR="0094767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</w:t>
      </w:r>
      <w:r w:rsidR="003316EE"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2016. godini</w:t>
      </w:r>
      <w:r w:rsidR="00196324" w:rsidRPr="00EA300C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196324" w:rsidRPr="00EA300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     </w:t>
      </w:r>
      <w:r w:rsidR="00196324" w:rsidRPr="00EA300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                                               </w:t>
      </w:r>
      <w:r w:rsidR="003316EE" w:rsidRPr="00EA300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                       </w:t>
      </w:r>
      <w:r w:rsidR="00196324" w:rsidRPr="00EA300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kuna, prosječne plaće u kunama)</w:t>
      </w:r>
    </w:p>
    <w:tbl>
      <w:tblPr>
        <w:tblW w:w="974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1"/>
        <w:gridCol w:w="1100"/>
        <w:gridCol w:w="1012"/>
        <w:gridCol w:w="1015"/>
        <w:gridCol w:w="1015"/>
        <w:gridCol w:w="1279"/>
        <w:gridCol w:w="1098"/>
      </w:tblGrid>
      <w:tr w:rsidR="003316EE" w:rsidRPr="003316EE" w:rsidTr="00495DB3">
        <w:trPr>
          <w:trHeight w:hRule="exact" w:val="425"/>
          <w:jc w:val="center"/>
        </w:trPr>
        <w:tc>
          <w:tcPr>
            <w:tcW w:w="3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3316EE" w:rsidRPr="003316EE" w:rsidRDefault="003316EE" w:rsidP="003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Djelatnost</w:t>
            </w:r>
          </w:p>
        </w:tc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3316EE" w:rsidRPr="003316EE" w:rsidRDefault="003316EE" w:rsidP="003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0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3316EE" w:rsidRPr="003316EE" w:rsidRDefault="003316EE" w:rsidP="003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3316EE" w:rsidRPr="003316EE" w:rsidRDefault="003316EE" w:rsidP="003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3316EE" w:rsidRPr="003316EE" w:rsidRDefault="003316EE" w:rsidP="003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</w:t>
            </w:r>
          </w:p>
        </w:tc>
        <w:tc>
          <w:tcPr>
            <w:tcW w:w="127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3316EE" w:rsidRPr="003316EE" w:rsidRDefault="003316EE" w:rsidP="003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Konsolidirani finan. rezultat</w:t>
            </w:r>
          </w:p>
        </w:tc>
        <w:tc>
          <w:tcPr>
            <w:tcW w:w="10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3316EE" w:rsidRPr="003316EE" w:rsidRDefault="003316EE" w:rsidP="00331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 m</w:t>
            </w: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jes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3316E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plaća</w:t>
            </w:r>
          </w:p>
        </w:tc>
      </w:tr>
      <w:tr w:rsidR="003316EE" w:rsidRPr="003316EE" w:rsidTr="00947670">
        <w:trPr>
          <w:trHeight w:val="283"/>
          <w:jc w:val="center"/>
        </w:trPr>
        <w:tc>
          <w:tcPr>
            <w:tcW w:w="32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61.1 Djelatnosti žičane telekomunikacije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7.773.240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6.587.593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938.623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8.581</w:t>
            </w:r>
          </w:p>
        </w:tc>
      </w:tr>
      <w:tr w:rsidR="003316EE" w:rsidRPr="003316EE" w:rsidTr="00947670">
        <w:trPr>
          <w:trHeight w:val="283"/>
          <w:jc w:val="center"/>
        </w:trPr>
        <w:tc>
          <w:tcPr>
            <w:tcW w:w="32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316EE" w:rsidRPr="00947670" w:rsidRDefault="003316EE" w:rsidP="00947670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61.2 Djelat</w:t>
            </w:r>
            <w:r w:rsidR="00947670"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  <w:r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 bežične telekomunikacije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</w:t>
            </w:r>
            <w:r w:rsidR="00317577"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5.106.734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4.949.021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126.508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10.169</w:t>
            </w:r>
          </w:p>
        </w:tc>
      </w:tr>
      <w:tr w:rsidR="003316EE" w:rsidRPr="003316EE" w:rsidTr="00947670">
        <w:trPr>
          <w:trHeight w:val="283"/>
          <w:jc w:val="center"/>
        </w:trPr>
        <w:tc>
          <w:tcPr>
            <w:tcW w:w="32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316EE" w:rsidRPr="00947670" w:rsidRDefault="003316EE" w:rsidP="00947670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61.3 Djelat</w:t>
            </w:r>
            <w:r w:rsidR="00947670"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  <w:r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 satelitske telekomunikacije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48.353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57.032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-8.828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4.444</w:t>
            </w:r>
          </w:p>
        </w:tc>
      </w:tr>
      <w:tr w:rsidR="003316EE" w:rsidRPr="003316EE" w:rsidTr="00947670">
        <w:trPr>
          <w:trHeight w:val="283"/>
          <w:jc w:val="center"/>
        </w:trPr>
        <w:tc>
          <w:tcPr>
            <w:tcW w:w="32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3316EE" w:rsidRPr="00947670" w:rsidRDefault="003316EE" w:rsidP="00947670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61.9 Ostale telekomunikacijske djelat</w:t>
            </w:r>
            <w:r w:rsidR="00947670" w:rsidRPr="009476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115.098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108.564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5.586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4.470</w:t>
            </w:r>
          </w:p>
        </w:tc>
      </w:tr>
      <w:tr w:rsidR="003316EE" w:rsidRPr="003316EE" w:rsidTr="00947670">
        <w:trPr>
          <w:trHeight w:hRule="exact" w:val="283"/>
          <w:jc w:val="center"/>
        </w:trPr>
        <w:tc>
          <w:tcPr>
            <w:tcW w:w="32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  <w:t>61 Telekomunikacije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7.570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13.043.425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11.702.209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1.061.888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16EE" w:rsidRPr="00947670" w:rsidRDefault="003316EE" w:rsidP="003316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8.880</w:t>
            </w:r>
          </w:p>
        </w:tc>
      </w:tr>
    </w:tbl>
    <w:p w:rsidR="003A5202" w:rsidRDefault="0079584D" w:rsidP="003A5202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EA300C">
        <w:rPr>
          <w:rFonts w:ascii="Arial" w:hAnsi="Arial" w:cs="Arial"/>
          <w:i/>
          <w:color w:val="1F497D" w:themeColor="text2"/>
          <w:sz w:val="16"/>
          <w:szCs w:val="16"/>
        </w:rPr>
        <w:t xml:space="preserve">Izvor: </w:t>
      </w:r>
      <w:r w:rsidR="003A5202" w:rsidRPr="00EA300C">
        <w:rPr>
          <w:rFonts w:ascii="Arial" w:hAnsi="Arial" w:cs="Arial"/>
          <w:i/>
          <w:color w:val="1F497D" w:themeColor="text2"/>
          <w:sz w:val="16"/>
          <w:szCs w:val="16"/>
        </w:rPr>
        <w:t>Fina, Registar godišnjih financijskih izvještaja, obrada GFI-a za 201</w:t>
      </w:r>
      <w:r w:rsidR="005F50B1" w:rsidRPr="00EA300C">
        <w:rPr>
          <w:rFonts w:ascii="Arial" w:hAnsi="Arial" w:cs="Arial"/>
          <w:i/>
          <w:color w:val="1F497D" w:themeColor="text2"/>
          <w:sz w:val="16"/>
          <w:szCs w:val="16"/>
        </w:rPr>
        <w:t>6</w:t>
      </w:r>
      <w:r w:rsidR="003A5202" w:rsidRPr="00EA300C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="003A5202"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E408FF" w:rsidRDefault="00E408FF" w:rsidP="009F2CEB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u </w:t>
      </w:r>
      <w:r w:rsidR="00C426F4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bežične telekomunikacije</w:t>
      </w:r>
      <w:r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(61</w:t>
      </w:r>
      <w:r w:rsidR="00C426F4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.2), </w:t>
      </w:r>
      <w:r w:rsidR="00364B73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povećali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broj zaposlenih za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2,4</w:t>
      </w:r>
      <w:r w:rsidR="008B72C2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ukupne prihode za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5,0</w:t>
      </w:r>
      <w:r w:rsidR="007B456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ukupne rashode za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364B73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,5</w:t>
      </w:r>
      <w:r w:rsidR="007B456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dobit razdoblja za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11,2</w:t>
      </w:r>
      <w:r w:rsidR="007B456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</w:t>
      </w:r>
      <w:r w:rsidR="003D3EC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a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364B73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smanjili 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</w:t>
      </w:r>
      <w:r w:rsidR="00794D61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ak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razdoblja za</w:t>
      </w:r>
      <w:r w:rsidR="00364B73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59,8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te </w:t>
      </w:r>
      <w:r w:rsidR="003D3EC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 </w:t>
      </w:r>
      <w:r w:rsidR="00E711EE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="004C0B27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</w:t>
      </w:r>
      <w:r w:rsidR="00364B73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 </w:t>
      </w:r>
      <w:r w:rsidR="00E711EE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od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126,5</w:t>
      </w:r>
      <w:r w:rsidR="00364B73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</w:t>
      </w:r>
      <w:r w:rsidR="00E711EE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3D3EC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364B73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B47FF" w:rsidRPr="007D30F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povećanje za 70,8 </w:t>
      </w:r>
      <w:r w:rsidR="00CB47FF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3D3EC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obzirom na 2015. godinu</w:t>
      </w:r>
      <w:r w:rsidR="00CB47FF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4C0B2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164B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To je ujedno i skupina djelatnosti </w:t>
      </w:r>
      <w:r w:rsidR="000F0A6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 najvećom obračunatom prosječnom</w:t>
      </w:r>
      <w:r w:rsidR="005164B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mjesečn</w:t>
      </w:r>
      <w:r w:rsidR="000F0A6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om neto plaćom </w:t>
      </w:r>
      <w:r w:rsidR="00C426F4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iznosu od </w:t>
      </w:r>
      <w:r w:rsidR="00CB47FF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10.169</w:t>
      </w:r>
      <w:r w:rsidR="000F0A6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</w:t>
      </w:r>
      <w:r w:rsidR="005164B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</w:t>
      </w:r>
      <w:r w:rsidR="000F0A6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5164B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F0A6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</w:t>
      </w:r>
      <w:r w:rsidR="005164B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D069A1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14,5</w:t>
      </w:r>
      <w:r w:rsidR="007B456F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F0A6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veća</w:t>
      </w:r>
      <w:r w:rsidR="005164B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prosječn</w:t>
      </w:r>
      <w:r w:rsidR="000F0A6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 mjesečne</w:t>
      </w:r>
      <w:r w:rsidR="005164B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plać</w:t>
      </w:r>
      <w:r w:rsidR="000F0A67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zaposlenih kod poduzetnika </w:t>
      </w:r>
      <w:r w:rsidR="00D069A1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djelatnosti telekomunikacije</w:t>
      </w:r>
      <w:r w:rsidR="00C426F4" w:rsidRPr="001E76E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5164B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odjelj</w:t>
      </w:r>
      <w:r w:rsidR="006202F3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ak</w:t>
      </w:r>
      <w:r w:rsidR="005164B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</w:t>
      </w:r>
      <w:r w:rsidR="00D069A1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61</w:t>
      </w:r>
      <w:r w:rsidR="00C426F4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koja iznosi </w:t>
      </w:r>
      <w:r w:rsidR="00D069A1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8.880</w:t>
      </w:r>
      <w:r w:rsidR="000F0A6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D069A1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5164B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4C0B2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Najveću dobit ove skupine djelatnosti ostvar</w:t>
      </w:r>
      <w:r w:rsidR="00AB6738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B12B2F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</w:t>
      </w:r>
      <w:r w:rsidR="00AB6738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 je</w:t>
      </w:r>
      <w:r w:rsidR="00B12B2F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društvo </w:t>
      </w:r>
      <w:hyperlink r:id="rId10" w:history="1">
        <w:r w:rsidR="00114F7D" w:rsidRPr="000B611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VIP</w:t>
        </w:r>
        <w:r w:rsidR="009746A8" w:rsidRPr="000B611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net usluge</w:t>
        </w:r>
        <w:r w:rsidR="00B12B2F" w:rsidRPr="000B611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d.o.o.</w:t>
        </w:r>
      </w:hyperlink>
      <w:r w:rsidR="009746A8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 w:rsidR="004C0B2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114F7D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49,5</w:t>
      </w:r>
      <w:r w:rsidR="00AB6738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114F7D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4C0B2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2A515B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C0B2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12B2F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</w:t>
      </w:r>
      <w:r w:rsidR="00114F7D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68</w:t>
      </w:r>
      <w:r w:rsidR="00B12B2F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i </w:t>
      </w:r>
      <w:r w:rsidR="00114F7D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130,0</w:t>
      </w:r>
      <w:r w:rsidR="00942173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prihoda</w:t>
      </w:r>
      <w:r w:rsidR="009746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11" w:anchor="a_tekst_objave" w:history="1">
        <w:r w:rsidR="009746A8" w:rsidRPr="009746A8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koje je brisano i</w:t>
        </w:r>
        <w:r w:rsidR="00B93B5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z</w:t>
        </w:r>
        <w:r w:rsidR="009746A8" w:rsidRPr="009746A8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Sudskog registra 10. travnja 2018. godine</w:t>
        </w:r>
      </w:hyperlink>
      <w:r w:rsidR="004C0B27" w:rsidRPr="001425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2967E4" w:rsidRDefault="00366E16" w:rsidP="00366E16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skupini djelatnosti 61.3 – Djelatnosti satelitske telekomunikacije poslovalo je sedam poduzetnika koji su u 2016. godini negativno poslovali te ostvarili neto gubitak u iznosu od </w:t>
      </w:r>
      <w:r w:rsidR="002572B0"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8,8 milijuna kuna. Na negativan financijski rezultat spomenute skupine</w:t>
      </w:r>
      <w:r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najviše </w:t>
      </w:r>
      <w:r w:rsidR="002572B0"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utjeca</w:t>
      </w:r>
      <w:r w:rsidR="002572B0"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</w:t>
      </w:r>
      <w:r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 </w:t>
      </w:r>
      <w:r w:rsidR="002572B0"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društvo</w:t>
      </w:r>
      <w:r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12" w:history="1">
        <w:r w:rsidRPr="001C62AF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T</w:t>
        </w:r>
        <w:r w:rsidR="0038369C" w:rsidRPr="001C62AF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otalna televizija</w:t>
        </w:r>
        <w:r w:rsidRPr="001C62AF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d.o.o.</w:t>
        </w:r>
      </w:hyperlink>
      <w:r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Zagreba</w:t>
      </w:r>
      <w:r w:rsidR="002572B0"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iskazanim neto gubitkom</w:t>
      </w:r>
      <w:r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9,3 milijuna kuna.</w:t>
      </w:r>
      <w:r w:rsidR="002967E4"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Poduzetnici skupine djelatnosti 61.9 - Ostale telekomunikacijske djelatnosti (njih 87), u 2016. godini ostvarili su pozitivan financijski rezultat u iznosu od 5,6 milijuna kuna u odnosu na prethodnu poslovnu godinu kada su iskazali neto gubitak od 2,0 milijuna kuna. Najveću neto dobit ove skupine djelatnosti ostvarilo je društvo </w:t>
      </w:r>
      <w:hyperlink r:id="rId13" w:history="1">
        <w:r w:rsidR="002967E4" w:rsidRPr="001C62AF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UNIVERZALNE TELEKOMUNIKACIJE d.o.o.</w:t>
        </w:r>
      </w:hyperlink>
      <w:r w:rsidR="002967E4" w:rsidRPr="0012754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Zagreba, u iznosu od 4,2 milijuna kuna.</w:t>
      </w:r>
    </w:p>
    <w:p w:rsidR="00FF6ACC" w:rsidRPr="00EA300C" w:rsidRDefault="00B73D5E" w:rsidP="007130FF">
      <w:pP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</w:t>
      </w:r>
      <w:r w:rsidR="00FF6ACC"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FF6ACC"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rezultati poslovanja poduzetnika odjeljka djelatnosti 61 </w:t>
      </w:r>
      <w:r w:rsidR="0038369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–</w:t>
      </w: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Telekomunikacije</w:t>
      </w:r>
      <w:r w:rsidR="0038369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</w:t>
      </w: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 oblicima vlasništva </w:t>
      </w: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A300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A300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kuna, prosječne plaće u kunama)</w:t>
      </w:r>
    </w:p>
    <w:tbl>
      <w:tblPr>
        <w:tblW w:w="977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1077"/>
        <w:gridCol w:w="567"/>
        <w:gridCol w:w="850"/>
        <w:gridCol w:w="567"/>
        <w:gridCol w:w="991"/>
        <w:gridCol w:w="567"/>
        <w:gridCol w:w="794"/>
        <w:gridCol w:w="567"/>
        <w:gridCol w:w="963"/>
        <w:gridCol w:w="565"/>
      </w:tblGrid>
      <w:tr w:rsidR="00495DB3" w:rsidRPr="00B73D5E" w:rsidTr="00495DB3">
        <w:trPr>
          <w:trHeight w:hRule="exact" w:val="377"/>
          <w:jc w:val="center"/>
        </w:trPr>
        <w:tc>
          <w:tcPr>
            <w:tcW w:w="226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64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sva vlasništva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Državno</w:t>
            </w:r>
          </w:p>
        </w:tc>
        <w:tc>
          <w:tcPr>
            <w:tcW w:w="155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Privatno</w:t>
            </w:r>
          </w:p>
        </w:tc>
        <w:tc>
          <w:tcPr>
            <w:tcW w:w="136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Zadružno</w:t>
            </w:r>
          </w:p>
        </w:tc>
        <w:tc>
          <w:tcPr>
            <w:tcW w:w="152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Mješovito</w:t>
            </w:r>
          </w:p>
        </w:tc>
      </w:tr>
      <w:tr w:rsidR="00947670" w:rsidRPr="00B73D5E" w:rsidTr="00495DB3">
        <w:trPr>
          <w:trHeight w:hRule="exact" w:val="255"/>
          <w:jc w:val="center"/>
        </w:trPr>
        <w:tc>
          <w:tcPr>
            <w:tcW w:w="226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2016.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73D5E" w:rsidRPr="00B73D5E" w:rsidRDefault="00B73D5E" w:rsidP="00B73D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73D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</w:tr>
      <w:tr w:rsidR="00B73D5E" w:rsidRPr="00B73D5E" w:rsidTr="00947670">
        <w:trPr>
          <w:trHeight w:hRule="exact" w:val="283"/>
          <w:jc w:val="center"/>
        </w:trPr>
        <w:tc>
          <w:tcPr>
            <w:tcW w:w="2268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poduzetnika 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282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1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275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63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5" w:type="dxa"/>
            <w:tcBorders>
              <w:top w:val="single" w:sz="4" w:space="0" w:color="FFFFF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73D5E" w:rsidRPr="00B73D5E" w:rsidTr="00947670">
        <w:trPr>
          <w:trHeight w:hRule="exact" w:val="283"/>
          <w:jc w:val="center"/>
        </w:trPr>
        <w:tc>
          <w:tcPr>
            <w:tcW w:w="2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zaposlenih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102,1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3.653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93,9</w:t>
            </w:r>
          </w:p>
        </w:tc>
      </w:tr>
      <w:tr w:rsidR="00B73D5E" w:rsidRPr="00B73D5E" w:rsidTr="00947670">
        <w:trPr>
          <w:trHeight w:hRule="exact" w:val="283"/>
          <w:jc w:val="center"/>
        </w:trPr>
        <w:tc>
          <w:tcPr>
            <w:tcW w:w="2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Ukupni prihodi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13.043.425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343.403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6.561.717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103,3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6.138.168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102,1</w:t>
            </w:r>
          </w:p>
        </w:tc>
      </w:tr>
      <w:tr w:rsidR="00B73D5E" w:rsidRPr="00B73D5E" w:rsidTr="00947670">
        <w:trPr>
          <w:trHeight w:hRule="exact" w:val="283"/>
          <w:jc w:val="center"/>
        </w:trPr>
        <w:tc>
          <w:tcPr>
            <w:tcW w:w="2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Ukupni rashodi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11.702.209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296.964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6.412.137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102,8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112,1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4.992.973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102,0</w:t>
            </w:r>
          </w:p>
        </w:tc>
      </w:tr>
      <w:tr w:rsidR="00B73D5E" w:rsidRPr="00B73D5E" w:rsidTr="00947670">
        <w:trPr>
          <w:trHeight w:hRule="exact" w:val="283"/>
          <w:jc w:val="center"/>
        </w:trPr>
        <w:tc>
          <w:tcPr>
            <w:tcW w:w="2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Dobit razdoblja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1.132.275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36.783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186.694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101,2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908.797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101,7</w:t>
            </w:r>
          </w:p>
        </w:tc>
      </w:tr>
      <w:tr w:rsidR="00B73D5E" w:rsidRPr="00B73D5E" w:rsidTr="00947670">
        <w:trPr>
          <w:trHeight w:hRule="exact" w:val="283"/>
          <w:jc w:val="center"/>
        </w:trPr>
        <w:tc>
          <w:tcPr>
            <w:tcW w:w="2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Gubitak razdoblja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70.387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70.387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83,6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-</w:t>
            </w:r>
          </w:p>
        </w:tc>
      </w:tr>
      <w:tr w:rsidR="00B73D5E" w:rsidRPr="00B73D5E" w:rsidTr="00947670">
        <w:trPr>
          <w:trHeight w:hRule="exact" w:val="283"/>
          <w:jc w:val="center"/>
        </w:trPr>
        <w:tc>
          <w:tcPr>
            <w:tcW w:w="2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Dobit ili gubitak razdoblja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1.061.888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36.783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116.307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115,9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908.797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101,7</w:t>
            </w:r>
          </w:p>
        </w:tc>
      </w:tr>
      <w:tr w:rsidR="00B73D5E" w:rsidRPr="00B73D5E" w:rsidTr="00947670">
        <w:trPr>
          <w:trHeight w:hRule="exact" w:val="454"/>
          <w:jc w:val="center"/>
        </w:trPr>
        <w:tc>
          <w:tcPr>
            <w:tcW w:w="2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947670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Prosječna mjeseč</w:t>
            </w:r>
            <w:r w:rsid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na</w:t>
            </w:r>
            <w:r w:rsidRP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 neto plaća po zaposl</w:t>
            </w:r>
            <w:r w:rsidR="00947670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enom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8.880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9.604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8.495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105,6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104,9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9.195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B73D5E" w:rsidRPr="00947670" w:rsidRDefault="00B73D5E" w:rsidP="00B73D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94767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102,9</w:t>
            </w:r>
          </w:p>
        </w:tc>
      </w:tr>
    </w:tbl>
    <w:p w:rsidR="003E5322" w:rsidRDefault="00586ABF" w:rsidP="00152641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EA300C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</w:t>
      </w:r>
      <w:r w:rsidR="003B22BE" w:rsidRPr="00EA300C">
        <w:rPr>
          <w:rFonts w:ascii="Arial" w:hAnsi="Arial" w:cs="Arial"/>
          <w:i/>
          <w:color w:val="1F497D" w:themeColor="text2"/>
          <w:sz w:val="16"/>
          <w:szCs w:val="16"/>
        </w:rPr>
        <w:t>izvještaja, obrada GFI-a za 201</w:t>
      </w:r>
      <w:r w:rsidR="005F50B1" w:rsidRPr="00EA300C">
        <w:rPr>
          <w:rFonts w:ascii="Arial" w:hAnsi="Arial" w:cs="Arial"/>
          <w:i/>
          <w:color w:val="1F497D" w:themeColor="text2"/>
          <w:sz w:val="16"/>
          <w:szCs w:val="16"/>
        </w:rPr>
        <w:t>6</w:t>
      </w:r>
      <w:r w:rsidRPr="00EA300C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</w:p>
    <w:p w:rsidR="00CF658C" w:rsidRDefault="007C31ED" w:rsidP="007130FF">
      <w:pPr>
        <w:pageBreakBefore/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Analiza poduzetnika u djelatnosti telekomunikacija (NKD 61) </w:t>
      </w:r>
      <w:r w:rsidRPr="00947670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prema obliku vlasništva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pokazala je da je u 2016. godini u privatnom sektoru poslovalo 275 poduzetnika ili 97,5 % od ukupnog broja. </w:t>
      </w:r>
      <w:r w:rsidR="00CC70E4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državnom sektoru poslovalo je pet poduzetnika (</w:t>
      </w:r>
      <w:hyperlink r:id="rId14" w:history="1">
        <w:r w:rsidR="00CC70E4" w:rsidRPr="00382F4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O</w:t>
        </w:r>
        <w:r w:rsidR="009746A8" w:rsidRPr="00382F4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dašiljači i veze</w:t>
        </w:r>
        <w:r w:rsidR="00CC70E4" w:rsidRPr="00382F4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d.o.o.</w:t>
        </w:r>
      </w:hyperlink>
      <w:r w:rsidR="00CC70E4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15" w:history="1">
        <w:r w:rsidR="00CC70E4" w:rsidRPr="00382F4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VIA TEL d.o.o.</w:t>
        </w:r>
      </w:hyperlink>
      <w:r w:rsidR="00CC70E4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16" w:history="1">
        <w:r w:rsidR="00CC70E4" w:rsidRPr="00382F4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HEP TELEKOMUNIKACIJE d.o.o.</w:t>
        </w:r>
      </w:hyperlink>
      <w:r w:rsidR="00382F4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CC70E4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17" w:history="1">
        <w:r w:rsidR="00CC70E4" w:rsidRPr="00382F4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TELEMEDIA d.o.o.</w:t>
        </w:r>
      </w:hyperlink>
      <w:r w:rsidR="00CC70E4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</w:t>
      </w:r>
      <w:hyperlink r:id="rId18" w:history="1">
        <w:r w:rsidR="00CC70E4" w:rsidRPr="00382F4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KTV VINKOVCI d.o.o.</w:t>
        </w:r>
      </w:hyperlink>
      <w:r w:rsidR="00CC70E4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  <w:r w:rsidR="000D1D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dok je </w:t>
      </w:r>
      <w:r w:rsidR="00CC70E4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zadružnom</w:t>
      </w:r>
      <w:r w:rsidR="000D1D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D1DA3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hyperlink r:id="rId19" w:history="1">
        <w:r w:rsidR="008D4264" w:rsidRPr="00D052A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ZADRUGA</w:t>
        </w:r>
        <w:r w:rsidR="000D1DA3" w:rsidRPr="00D052A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SAGITARIUS</w:t>
        </w:r>
      </w:hyperlink>
      <w:r w:rsidR="000D1DA3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CC70E4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D1D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mješovitom vlasništvu </w:t>
      </w:r>
      <w:r w:rsidR="000D1DA3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hyperlink r:id="rId20" w:history="1">
        <w:r w:rsidR="000D1DA3" w:rsidRPr="0046742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</w:t>
        </w:r>
        <w:r w:rsidR="009746A8" w:rsidRPr="0046742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rvatski Telekom</w:t>
        </w:r>
        <w:r w:rsidR="000D1DA3" w:rsidRPr="0046742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d.d.</w:t>
        </w:r>
      </w:hyperlink>
      <w:r w:rsidR="000D1DA3"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94767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D1D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poslovao po </w:t>
      </w:r>
      <w:r w:rsidR="009746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 poduzetnik</w:t>
      </w:r>
      <w:r w:rsidR="000D1D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</w:p>
    <w:p w:rsidR="0056391E" w:rsidRPr="0056391E" w:rsidRDefault="0056391E" w:rsidP="0056391E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u privatnom sektoru ostvarili su neto dobit od 116,3 milijuna kuna (u prosjeku </w:t>
      </w:r>
      <w:r w:rsidR="0084700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42</w:t>
      </w:r>
      <w:r w:rsidR="0084700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po poduzetniku), jedan poduzetnik </w:t>
      </w:r>
      <w:r w:rsidR="000327A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zadružnog vlasništva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iskazao je neto dobit od tisuću kuna, jedan poduzetnik </w:t>
      </w:r>
      <w:r w:rsidR="000327A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mješovitog vlasništva</w:t>
      </w:r>
      <w:r w:rsidR="00734B3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hyperlink r:id="rId21" w:history="1">
        <w:r w:rsidR="00734B38" w:rsidRPr="0046742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Hrvatski Telekom d.d.</w:t>
        </w:r>
      </w:hyperlink>
      <w:r w:rsidR="00734B38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34B3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ostvario je </w:t>
      </w:r>
      <w:r w:rsidR="0084700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neto 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 od 908,8 milijuna kuna, </w:t>
      </w:r>
      <w:r w:rsidR="0084700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kao i 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svih pet poduzetnika u državnom vlasništvu </w:t>
      </w:r>
      <w:r w:rsidR="0084700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su ostvarili 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dobit</w:t>
      </w:r>
      <w:r w:rsidR="00734B3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0327A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ukupno</w:t>
      </w:r>
      <w:r w:rsidR="00734B3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 iznosu od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36,8 milijuna kuna</w:t>
      </w:r>
      <w:r w:rsidR="0094767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(u prosjeku </w:t>
      </w:r>
      <w:r w:rsidR="0084700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7,33 milijuna</w:t>
      </w:r>
      <w:r w:rsidR="00734B38" w:rsidRPr="00734B3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po poduzetniku</w:t>
      </w:r>
      <w:r w:rsidR="0084700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C2547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Najveću prosječnu mjesečnu neto plaću u iznosu od 9.604 kune obračunali su poduzetnici u državnom vlasništvu, što je 8,2 % više od prosječne mjesečne neto plaće zaposlenih kod poduzetnika u odjeljku djelatnosti telekomunikacija (8.880 kuna).</w:t>
      </w:r>
    </w:p>
    <w:p w:rsidR="009A0C7E" w:rsidRDefault="00A72757" w:rsidP="009746A8">
      <w:pPr>
        <w:spacing w:before="180" w:after="0"/>
        <w:ind w:left="1134" w:hanging="1140"/>
        <w:jc w:val="right"/>
        <w:rPr>
          <w:rFonts w:ascii="Arial" w:hAnsi="Arial" w:cs="Arial"/>
          <w:color w:val="17365D"/>
          <w:sz w:val="16"/>
          <w:szCs w:val="16"/>
        </w:rPr>
      </w:pPr>
      <w:r w:rsidRPr="009746A8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485408" w:rsidRPr="009746A8">
        <w:rPr>
          <w:rFonts w:ascii="Arial" w:hAnsi="Arial" w:cs="Arial"/>
          <w:b/>
          <w:color w:val="244061" w:themeColor="accent1" w:themeShade="80"/>
          <w:sz w:val="18"/>
          <w:szCs w:val="18"/>
        </w:rPr>
        <w:t>3</w:t>
      </w:r>
      <w:r w:rsidRPr="009746A8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9746A8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485408" w:rsidRPr="009746A8">
        <w:rPr>
          <w:rFonts w:ascii="Arial" w:hAnsi="Arial" w:cs="Arial"/>
          <w:b/>
          <w:color w:val="244061" w:themeColor="accent1" w:themeShade="80"/>
          <w:sz w:val="18"/>
          <w:szCs w:val="18"/>
        </w:rPr>
        <w:t>Top 10 poduzetnika po ukupnom prihodu u 2016. godini, u odjeljku djelatnosti 61 - Telekomunikacije</w:t>
      </w:r>
      <w:r w:rsidR="00485408" w:rsidRPr="009746A8">
        <w:rPr>
          <w:rFonts w:ascii="Arial" w:hAnsi="Arial" w:cs="Arial"/>
          <w:color w:val="244061" w:themeColor="accent1" w:themeShade="80"/>
          <w:sz w:val="19"/>
          <w:szCs w:val="19"/>
        </w:rPr>
        <w:t xml:space="preserve"> </w:t>
      </w:r>
      <w:r w:rsidRPr="00EA300C">
        <w:rPr>
          <w:rFonts w:ascii="Arial" w:hAnsi="Arial" w:cs="Arial"/>
          <w:color w:val="17365D"/>
          <w:sz w:val="16"/>
          <w:szCs w:val="16"/>
        </w:rPr>
        <w:t>(</w:t>
      </w:r>
      <w:r w:rsidR="00786673" w:rsidRPr="00EA300C">
        <w:rPr>
          <w:rFonts w:ascii="Arial" w:hAnsi="Arial" w:cs="Arial"/>
          <w:color w:val="17365D"/>
          <w:sz w:val="16"/>
          <w:szCs w:val="16"/>
        </w:rPr>
        <w:t>iznosi u tisućama kuna</w:t>
      </w:r>
      <w:r w:rsidRPr="00EA300C">
        <w:rPr>
          <w:rFonts w:ascii="Arial" w:hAnsi="Arial" w:cs="Arial"/>
          <w:color w:val="17365D"/>
          <w:sz w:val="16"/>
          <w:szCs w:val="16"/>
        </w:rPr>
        <w:t>)</w:t>
      </w:r>
    </w:p>
    <w:tbl>
      <w:tblPr>
        <w:tblW w:w="970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1371"/>
        <w:gridCol w:w="3969"/>
        <w:gridCol w:w="1371"/>
        <w:gridCol w:w="1353"/>
        <w:gridCol w:w="1129"/>
      </w:tblGrid>
      <w:tr w:rsidR="00485408" w:rsidRPr="00485408" w:rsidTr="00495DB3">
        <w:trPr>
          <w:trHeight w:hRule="exact" w:val="414"/>
          <w:jc w:val="center"/>
        </w:trPr>
        <w:tc>
          <w:tcPr>
            <w:tcW w:w="5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495DB3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R.</w:t>
            </w:r>
          </w:p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13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9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35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11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Udio u </w:t>
            </w:r>
            <w:r w:rsidRPr="004854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  <w:t>odjeljku 61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81793146560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186743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2" w:history="1">
              <w:r w:rsidR="009746A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Hrvatski Telekom</w:t>
              </w:r>
              <w:r w:rsidR="0048540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d.d.</w:t>
              </w:r>
            </w:hyperlink>
            <w:r w:rsidR="00411036">
              <w:rPr>
                <w:rStyle w:val="FootnoteReference"/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hr-HR"/>
              </w:rPr>
              <w:footnoteReference w:id="1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6.138.168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47,1%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29524210204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186743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3" w:history="1">
              <w:r w:rsidR="0048540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VIP</w:t>
              </w:r>
              <w:r w:rsidR="009746A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net</w:t>
              </w:r>
              <w:r w:rsidR="0048540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3.144.730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24,1%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70133616033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186743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4" w:history="1">
              <w:r w:rsidR="0038369C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Tele2</w:t>
              </w:r>
              <w:r w:rsidR="0048540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1.303.607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10,0%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36004425025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186743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5" w:history="1">
              <w:r w:rsidR="0048540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OT-OPTIMA TELEKOM d.d.</w:t>
              </w:r>
            </w:hyperlink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Buzin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458.047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3,5%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36779353407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186743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6" w:history="1">
              <w:r w:rsidR="0048540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ISKON INTERNET d.d.</w:t>
              </w:r>
            </w:hyperlink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393.472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3,0%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88150534338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38369C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Odašiljači i veze </w:t>
            </w:r>
            <w:r w:rsidR="00485408"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228.802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1,8%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23269006802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METRONET TELEKOMUNIKACIJE d.d.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227.511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1,7%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88551335012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H1 TELEKOM d.d.</w:t>
            </w:r>
            <w:r w:rsidR="00B93B5D">
              <w:rPr>
                <w:rStyle w:val="FootnoteReference"/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footnoteReference w:id="2"/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165.626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1,3%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00565279090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VIP</w:t>
            </w:r>
            <w:r w:rsidR="009746A8"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net</w:t>
            </w: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</w:t>
            </w:r>
            <w:r w:rsidR="009746A8"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usluge</w:t>
            </w: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130.263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1,0%</w:t>
            </w:r>
          </w:p>
        </w:tc>
      </w:tr>
      <w:tr w:rsidR="00485408" w:rsidRPr="00485408" w:rsidTr="00947670">
        <w:trPr>
          <w:trHeight w:hRule="exact" w:val="283"/>
          <w:jc w:val="center"/>
        </w:trPr>
        <w:tc>
          <w:tcPr>
            <w:tcW w:w="51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57233130801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38369C" w:rsidP="0048540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Nokia Solutions and Networks </w:t>
            </w:r>
            <w:r w:rsidR="00485408"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111.106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0,9%</w:t>
            </w:r>
          </w:p>
        </w:tc>
      </w:tr>
      <w:tr w:rsidR="00485408" w:rsidRPr="00485408" w:rsidTr="00485408">
        <w:trPr>
          <w:trHeight w:hRule="exact" w:val="272"/>
          <w:jc w:val="center"/>
        </w:trPr>
        <w:tc>
          <w:tcPr>
            <w:tcW w:w="722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10 poduzetnika po UP u odjeljku 61</w:t>
            </w:r>
          </w:p>
        </w:tc>
        <w:tc>
          <w:tcPr>
            <w:tcW w:w="135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12.301.334</w:t>
            </w:r>
          </w:p>
        </w:tc>
        <w:tc>
          <w:tcPr>
            <w:tcW w:w="112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94,3%</w:t>
            </w:r>
          </w:p>
        </w:tc>
      </w:tr>
      <w:tr w:rsidR="00485408" w:rsidRPr="00485408" w:rsidTr="00485408">
        <w:trPr>
          <w:trHeight w:hRule="exact" w:val="272"/>
          <w:jc w:val="center"/>
        </w:trPr>
        <w:tc>
          <w:tcPr>
            <w:tcW w:w="722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poduzetnici (282) u odjeljku 61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13.043.425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85408" w:rsidRPr="00485408" w:rsidRDefault="00485408" w:rsidP="00485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48540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100,0%</w:t>
            </w:r>
          </w:p>
        </w:tc>
      </w:tr>
    </w:tbl>
    <w:p w:rsidR="00A72757" w:rsidRPr="00EA300C" w:rsidRDefault="00DE3E28" w:rsidP="00152641">
      <w:pPr>
        <w:spacing w:before="40" w:after="0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EA300C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</w:t>
      </w:r>
      <w:r w:rsidR="005957C8" w:rsidRPr="00EA300C">
        <w:rPr>
          <w:rFonts w:ascii="Arial" w:hAnsi="Arial" w:cs="Arial"/>
          <w:i/>
          <w:color w:val="1F497D" w:themeColor="text2"/>
          <w:sz w:val="16"/>
          <w:szCs w:val="16"/>
        </w:rPr>
        <w:t>izvještaja, obrada GFI-a za 201</w:t>
      </w:r>
      <w:r w:rsidR="008B72C2" w:rsidRPr="00EA300C">
        <w:rPr>
          <w:rFonts w:ascii="Arial" w:hAnsi="Arial" w:cs="Arial"/>
          <w:i/>
          <w:color w:val="1F497D" w:themeColor="text2"/>
          <w:sz w:val="16"/>
          <w:szCs w:val="16"/>
        </w:rPr>
        <w:t>6</w:t>
      </w:r>
      <w:r w:rsidRPr="00EA300C">
        <w:rPr>
          <w:rFonts w:ascii="Arial" w:hAnsi="Arial" w:cs="Arial"/>
          <w:i/>
          <w:color w:val="1F497D" w:themeColor="text2"/>
          <w:sz w:val="16"/>
          <w:szCs w:val="16"/>
        </w:rPr>
        <w:t xml:space="preserve">. </w:t>
      </w:r>
      <w:r w:rsidR="008D03E0" w:rsidRPr="00EA300C">
        <w:rPr>
          <w:rFonts w:ascii="Arial" w:hAnsi="Arial" w:cs="Arial"/>
          <w:i/>
          <w:color w:val="1F497D" w:themeColor="text2"/>
          <w:sz w:val="16"/>
          <w:szCs w:val="16"/>
        </w:rPr>
        <w:t>g</w:t>
      </w:r>
      <w:r w:rsidRPr="00EA300C">
        <w:rPr>
          <w:rFonts w:ascii="Arial" w:hAnsi="Arial" w:cs="Arial"/>
          <w:i/>
          <w:color w:val="1F497D" w:themeColor="text2"/>
          <w:sz w:val="16"/>
          <w:szCs w:val="16"/>
        </w:rPr>
        <w:t>odinu</w:t>
      </w:r>
    </w:p>
    <w:p w:rsidR="0056391E" w:rsidRPr="009746A8" w:rsidRDefault="0056391E" w:rsidP="00947670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9746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Podaci o financijskim rezultatima top 10 poduzetnika po ukupnom prihodu u odjeljku </w:t>
      </w:r>
      <w:r w:rsidR="002C249F" w:rsidRPr="009746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61</w:t>
      </w:r>
      <w:r w:rsidRPr="009746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potvrđuju veliku koncentraciju rezultata na mali broj poduzetnika, pa je tako prvih 10 poduzetnika ostvarilo 12,3 milijarde kuna ukupnih prihoda (94,3 % prihoda odjeljka 61), zapošljavali su 83,3 % od ukupnog broja zaposlenih u odjeljku te ostvarili 96,4 % dobiti razdoblja odjeljka djelatnosti 61 – Telekomunikacije.</w:t>
      </w:r>
    </w:p>
    <w:p w:rsidR="000E7849" w:rsidRDefault="000E7849" w:rsidP="00B80C94">
      <w:pPr>
        <w:tabs>
          <w:tab w:val="left" w:pos="1134"/>
          <w:tab w:val="left" w:pos="7938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002060"/>
          <w:sz w:val="16"/>
          <w:szCs w:val="16"/>
          <w:lang w:eastAsia="hr-HR"/>
        </w:rPr>
      </w:pPr>
      <w:r w:rsidRPr="009746A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B80C94" w:rsidRPr="009746A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9746A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9746A8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B80C94" w:rsidRPr="009746A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Rang lista TOP pet poduzetnika po dobiti razdoblja u 2016. godini, u odjeljku djelatnosti 61 - Telekomunikacije</w:t>
      </w:r>
      <w:r w:rsidR="004631E1" w:rsidRPr="009746A8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7B12EB" w:rsidRPr="009746A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</w:t>
      </w:r>
      <w:r w:rsidR="009B53CA" w:rsidRPr="009746A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iznosi u </w:t>
      </w:r>
      <w:r w:rsidR="00014932" w:rsidRPr="009746A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tisućama kuna</w:t>
      </w:r>
      <w:r w:rsidR="007B12EB" w:rsidRPr="007D49B8">
        <w:rPr>
          <w:rFonts w:ascii="Arial" w:eastAsia="Times New Roman" w:hAnsi="Arial" w:cs="Arial"/>
          <w:color w:val="002060"/>
          <w:sz w:val="16"/>
          <w:szCs w:val="16"/>
          <w:lang w:eastAsia="hr-HR"/>
        </w:rPr>
        <w:t>)</w:t>
      </w:r>
    </w:p>
    <w:tbl>
      <w:tblPr>
        <w:tblW w:w="969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1361"/>
        <w:gridCol w:w="3742"/>
        <w:gridCol w:w="1145"/>
        <w:gridCol w:w="1288"/>
        <w:gridCol w:w="1574"/>
      </w:tblGrid>
      <w:tr w:rsidR="00B80C94" w:rsidRPr="00B80C94" w:rsidTr="00495DB3">
        <w:trPr>
          <w:trHeight w:val="283"/>
          <w:jc w:val="center"/>
        </w:trPr>
        <w:tc>
          <w:tcPr>
            <w:tcW w:w="58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74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4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28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17365D" w:themeFill="text2" w:themeFillShade="BF"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5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 w:themeFill="text2" w:themeFillShade="BF"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Udio u odjeljku 61</w:t>
            </w:r>
          </w:p>
        </w:tc>
      </w:tr>
      <w:tr w:rsidR="00B80C94" w:rsidRPr="00B80C94" w:rsidTr="00947670">
        <w:trPr>
          <w:trHeight w:val="283"/>
          <w:jc w:val="center"/>
        </w:trPr>
        <w:tc>
          <w:tcPr>
            <w:tcW w:w="5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81793146560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186743" w:rsidP="00B80C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7" w:history="1">
              <w:r w:rsidR="00B80C94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</w:t>
              </w:r>
              <w:r w:rsidR="009746A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rvatski Telekom</w:t>
              </w:r>
              <w:r w:rsidR="00B80C94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d.d.</w:t>
              </w:r>
            </w:hyperlink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908.797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80,3%</w:t>
            </w:r>
          </w:p>
        </w:tc>
      </w:tr>
      <w:tr w:rsidR="00B80C94" w:rsidRPr="00B80C94" w:rsidTr="00947670">
        <w:trPr>
          <w:trHeight w:val="283"/>
          <w:jc w:val="center"/>
        </w:trPr>
        <w:tc>
          <w:tcPr>
            <w:tcW w:w="5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00565279090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186743" w:rsidP="00B80C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8" w:history="1">
              <w:r w:rsidR="00B80C94" w:rsidRPr="000B6114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VIP</w:t>
              </w:r>
              <w:r w:rsidR="009746A8" w:rsidRPr="000B6114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net usluge</w:t>
              </w:r>
              <w:r w:rsidR="00B80C94" w:rsidRPr="000B6114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49.530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4,4%</w:t>
            </w:r>
          </w:p>
        </w:tc>
      </w:tr>
      <w:tr w:rsidR="00B80C94" w:rsidRPr="00B80C94" w:rsidTr="00947670">
        <w:trPr>
          <w:trHeight w:val="283"/>
          <w:jc w:val="center"/>
        </w:trPr>
        <w:tc>
          <w:tcPr>
            <w:tcW w:w="5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29524210204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186743" w:rsidP="00B80C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29" w:history="1">
              <w:r w:rsidR="00B80C94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VIP</w:t>
              </w:r>
              <w:r w:rsidR="009746A8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net</w:t>
              </w:r>
              <w:r w:rsidR="00B80C94" w:rsidRPr="0046742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46.689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4,1%</w:t>
            </w:r>
          </w:p>
        </w:tc>
      </w:tr>
      <w:tr w:rsidR="00B80C94" w:rsidRPr="00B80C94" w:rsidTr="00947670">
        <w:trPr>
          <w:trHeight w:val="283"/>
          <w:jc w:val="center"/>
        </w:trPr>
        <w:tc>
          <w:tcPr>
            <w:tcW w:w="5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88150534338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186743" w:rsidP="00B80C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30" w:history="1">
              <w:r w:rsidR="00B80C94" w:rsidRPr="00382F4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O</w:t>
              </w:r>
              <w:r w:rsidR="009746A8" w:rsidRPr="00382F4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dašiljači i veze</w:t>
              </w:r>
              <w:r w:rsidR="00B80C94" w:rsidRPr="00382F4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36.056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3,2%</w:t>
            </w:r>
          </w:p>
        </w:tc>
      </w:tr>
      <w:tr w:rsidR="00B80C94" w:rsidRPr="00B80C94" w:rsidTr="00947670">
        <w:trPr>
          <w:trHeight w:val="283"/>
          <w:jc w:val="center"/>
        </w:trPr>
        <w:tc>
          <w:tcPr>
            <w:tcW w:w="58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23269006802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186743" w:rsidP="00B80C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31" w:history="1">
              <w:r w:rsidR="00B80C94" w:rsidRPr="00382F4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METRONET TELEKOMUNIKACIJE d.d.</w:t>
              </w:r>
            </w:hyperlink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947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23.070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2,0%</w:t>
            </w:r>
          </w:p>
        </w:tc>
      </w:tr>
      <w:tr w:rsidR="00B80C94" w:rsidRPr="00B80C94" w:rsidTr="00947670">
        <w:trPr>
          <w:trHeight w:val="272"/>
          <w:jc w:val="center"/>
        </w:trPr>
        <w:tc>
          <w:tcPr>
            <w:tcW w:w="68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 top pet poduzetnika po dobiti razdoblja u odjeljku 61</w:t>
            </w:r>
          </w:p>
        </w:tc>
        <w:tc>
          <w:tcPr>
            <w:tcW w:w="128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1.064.142</w:t>
            </w:r>
          </w:p>
        </w:tc>
        <w:tc>
          <w:tcPr>
            <w:tcW w:w="15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94,0%</w:t>
            </w:r>
          </w:p>
        </w:tc>
      </w:tr>
      <w:tr w:rsidR="00B80C94" w:rsidRPr="00B80C94" w:rsidTr="00947670">
        <w:trPr>
          <w:trHeight w:val="272"/>
          <w:jc w:val="center"/>
        </w:trPr>
        <w:tc>
          <w:tcPr>
            <w:tcW w:w="68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svi poduzetnici (282) u odjeljku 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1.132.275</w:t>
            </w:r>
          </w:p>
        </w:tc>
        <w:tc>
          <w:tcPr>
            <w:tcW w:w="15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B80C94" w:rsidRPr="00B80C94" w:rsidRDefault="00B80C94" w:rsidP="00B80C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80C9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100,0%</w:t>
            </w:r>
          </w:p>
        </w:tc>
      </w:tr>
    </w:tbl>
    <w:p w:rsidR="00AA1A72" w:rsidRPr="004631E1" w:rsidRDefault="00947615" w:rsidP="00207259">
      <w:pPr>
        <w:spacing w:before="40" w:after="0" w:line="240" w:lineRule="auto"/>
        <w:jc w:val="both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 w:rsidRPr="007D49B8">
        <w:rPr>
          <w:rFonts w:ascii="Arial" w:hAnsi="Arial" w:cs="Arial"/>
          <w:i/>
          <w:color w:val="244061" w:themeColor="accent1" w:themeShade="80"/>
          <w:sz w:val="16"/>
          <w:szCs w:val="16"/>
        </w:rPr>
        <w:t>Izvor: Fina, Registar godišnjih financijskih izvještaja, obrada GFI-a za 201</w:t>
      </w:r>
      <w:r w:rsidR="005F50B1" w:rsidRPr="007D49B8">
        <w:rPr>
          <w:rFonts w:ascii="Arial" w:hAnsi="Arial" w:cs="Arial"/>
          <w:i/>
          <w:color w:val="244061" w:themeColor="accent1" w:themeShade="80"/>
          <w:sz w:val="16"/>
          <w:szCs w:val="16"/>
        </w:rPr>
        <w:t>6</w:t>
      </w:r>
      <w:r w:rsidRPr="007D49B8">
        <w:rPr>
          <w:rFonts w:ascii="Arial" w:hAnsi="Arial" w:cs="Arial"/>
          <w:i/>
          <w:color w:val="244061" w:themeColor="accent1" w:themeShade="80"/>
          <w:sz w:val="16"/>
          <w:szCs w:val="16"/>
        </w:rPr>
        <w:t xml:space="preserve">. </w:t>
      </w:r>
      <w:r w:rsidR="004C3F2D" w:rsidRPr="007D49B8">
        <w:rPr>
          <w:rFonts w:ascii="Arial" w:hAnsi="Arial" w:cs="Arial"/>
          <w:i/>
          <w:color w:val="244061" w:themeColor="accent1" w:themeShade="80"/>
          <w:sz w:val="16"/>
          <w:szCs w:val="16"/>
        </w:rPr>
        <w:t>g</w:t>
      </w:r>
      <w:r w:rsidRPr="007D49B8">
        <w:rPr>
          <w:rFonts w:ascii="Arial" w:hAnsi="Arial" w:cs="Arial"/>
          <w:i/>
          <w:color w:val="244061" w:themeColor="accent1" w:themeShade="80"/>
          <w:sz w:val="16"/>
          <w:szCs w:val="16"/>
        </w:rPr>
        <w:t>odinu</w:t>
      </w:r>
    </w:p>
    <w:p w:rsidR="008D19C2" w:rsidRDefault="00AB5BE8" w:rsidP="00947670">
      <w:pPr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Top pet poduzetnika po dobiti razdoblja u 2016. godini u djelatnosti 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telekomunikacija</w:t>
      </w:r>
      <w:r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sudjelovalo je s udjelom od 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94,0</w:t>
      </w:r>
      <w:r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% u ukupno ostvarenoj dobiti razdoblja svih poduzetnika promatrane djelatnosti.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Tome je najviše pridonijelo društvo </w:t>
      </w:r>
      <w:hyperlink r:id="rId32" w:history="1">
        <w:r w:rsidR="009746A8" w:rsidRPr="00467427">
          <w:rPr>
            <w:rStyle w:val="Hyperlink"/>
            <w:rFonts w:ascii="Arial" w:eastAsia="Times New Roman" w:hAnsi="Arial"/>
            <w:sz w:val="20"/>
            <w:szCs w:val="20"/>
            <w:lang w:eastAsia="hr-HR"/>
          </w:rPr>
          <w:t>Hrvatski Telekom</w:t>
        </w:r>
        <w:r w:rsidR="00BD726D" w:rsidRPr="00467427">
          <w:rPr>
            <w:rStyle w:val="Hyperlink"/>
            <w:rFonts w:ascii="Arial" w:eastAsia="Times New Roman" w:hAnsi="Arial"/>
            <w:sz w:val="20"/>
            <w:szCs w:val="20"/>
            <w:lang w:eastAsia="hr-HR"/>
          </w:rPr>
          <w:t xml:space="preserve"> d.d.</w:t>
        </w:r>
      </w:hyperlink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koje je sudjelovalo </w:t>
      </w:r>
      <w:r w:rsidR="007130FF">
        <w:rPr>
          <w:rFonts w:ascii="Arial" w:eastAsia="Times New Roman" w:hAnsi="Arial"/>
          <w:color w:val="003366"/>
          <w:sz w:val="20"/>
          <w:szCs w:val="20"/>
          <w:lang w:eastAsia="hr-HR"/>
        </w:rPr>
        <w:t>čiji je udio</w:t>
      </w:r>
      <w:r w:rsidR="007130FF" w:rsidRPr="007130FF">
        <w:t xml:space="preserve"> </w:t>
      </w:r>
      <w:r w:rsidR="007130FF" w:rsidRPr="007130FF">
        <w:rPr>
          <w:rFonts w:ascii="Arial" w:eastAsia="Times New Roman" w:hAnsi="Arial"/>
          <w:color w:val="003366"/>
          <w:sz w:val="20"/>
          <w:szCs w:val="20"/>
          <w:lang w:eastAsia="hr-HR"/>
        </w:rPr>
        <w:t>u ukupnoj dobiti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7130FF" w:rsidRPr="007130FF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promatranog odjeljka 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80,3 %</w:t>
      </w:r>
      <w:r w:rsidR="00B72D97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.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Društvo je ostvarilo ukupan prihod u iznosu od 6,2 milijarde</w:t>
      </w:r>
      <w:r w:rsidR="00ED2450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kuna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, neto dobit u iznosu 908,8 milijuna kuna</w:t>
      </w:r>
      <w:r w:rsidR="00B72D97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, zapošljavalo je 3.653 radnika te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</w:t>
      </w:r>
      <w:r w:rsidR="00B72D97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je 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prema svim prethodno navedenim kriterijima </w:t>
      </w:r>
      <w:r w:rsidR="007130FF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na 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prvo</w:t>
      </w:r>
      <w:r w:rsidR="007130FF">
        <w:rPr>
          <w:rFonts w:ascii="Arial" w:eastAsia="Times New Roman" w:hAnsi="Arial"/>
          <w:color w:val="003366"/>
          <w:sz w:val="20"/>
          <w:szCs w:val="20"/>
          <w:lang w:eastAsia="hr-HR"/>
        </w:rPr>
        <w:t>m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mjest</w:t>
      </w:r>
      <w:r w:rsidR="007130FF">
        <w:rPr>
          <w:rFonts w:ascii="Arial" w:eastAsia="Times New Roman" w:hAnsi="Arial"/>
          <w:color w:val="003366"/>
          <w:sz w:val="20"/>
          <w:szCs w:val="20"/>
          <w:lang w:eastAsia="hr-HR"/>
        </w:rPr>
        <w:t>u</w:t>
      </w:r>
      <w:r w:rsidR="00BD726D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u djelatnosti telekomunikacija u 2016. godini.</w:t>
      </w:r>
      <w:r w:rsidR="00B72D97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Zaposlenima u društvu </w:t>
      </w:r>
      <w:hyperlink r:id="rId33" w:history="1">
        <w:r w:rsidR="009746A8" w:rsidRPr="00467427">
          <w:rPr>
            <w:rStyle w:val="Hyperlink"/>
            <w:rFonts w:ascii="Arial" w:eastAsia="Times New Roman" w:hAnsi="Arial"/>
            <w:sz w:val="20"/>
            <w:szCs w:val="20"/>
            <w:lang w:eastAsia="hr-HR"/>
          </w:rPr>
          <w:t>Hrvatski Telekom</w:t>
        </w:r>
        <w:r w:rsidR="00B72D97" w:rsidRPr="00467427">
          <w:rPr>
            <w:rStyle w:val="Hyperlink"/>
            <w:rFonts w:ascii="Arial" w:eastAsia="Times New Roman" w:hAnsi="Arial"/>
            <w:sz w:val="20"/>
            <w:szCs w:val="20"/>
            <w:lang w:eastAsia="hr-HR"/>
          </w:rPr>
          <w:t xml:space="preserve"> d.d.</w:t>
        </w:r>
      </w:hyperlink>
      <w:r w:rsidR="00B72D97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 obračunata je prosječna mjesečna neto plaća u iznosu od 9.195 kuna, što je za 3,5 % više od prosječne mjesečne neto plaće zaposl</w:t>
      </w:r>
      <w:r w:rsidR="00BD014C">
        <w:rPr>
          <w:rFonts w:ascii="Arial" w:eastAsia="Times New Roman" w:hAnsi="Arial"/>
          <w:color w:val="003366"/>
          <w:sz w:val="20"/>
          <w:szCs w:val="20"/>
          <w:lang w:eastAsia="hr-HR"/>
        </w:rPr>
        <w:t xml:space="preserve">enih kod poduzetnika u </w:t>
      </w:r>
      <w:r w:rsidR="00B72D97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djelatnost</w:t>
      </w:r>
      <w:r w:rsidR="008D19C2" w:rsidRPr="00ED2450">
        <w:rPr>
          <w:rFonts w:ascii="Arial" w:eastAsia="Times New Roman" w:hAnsi="Arial"/>
          <w:color w:val="003366"/>
          <w:sz w:val="20"/>
          <w:szCs w:val="20"/>
          <w:lang w:eastAsia="hr-HR"/>
        </w:rPr>
        <w:t>i telekomunikacija (8.880 kuna) te za 78,9</w:t>
      </w:r>
      <w:r w:rsidR="008D19C2" w:rsidRPr="00ED2450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% više od prosječne neto plaće zaposlenih kod poduzetnika na razini RH (5.140 kuna).</w:t>
      </w:r>
    </w:p>
    <w:p w:rsidR="00195C00" w:rsidRPr="009E163C" w:rsidRDefault="00195C00" w:rsidP="00AC2726">
      <w:pPr>
        <w:tabs>
          <w:tab w:val="left" w:pos="0"/>
          <w:tab w:val="right" w:pos="1134"/>
        </w:tabs>
        <w:spacing w:before="120" w:after="0" w:line="269" w:lineRule="auto"/>
        <w:jc w:val="both"/>
        <w:rPr>
          <w:rFonts w:ascii="Arial" w:hAnsi="Arial" w:cs="Arial"/>
          <w:color w:val="003366"/>
          <w:sz w:val="20"/>
          <w:szCs w:val="20"/>
        </w:rPr>
      </w:pPr>
      <w:r w:rsidRPr="0038369C">
        <w:rPr>
          <w:rFonts w:ascii="Arial" w:hAnsi="Arial" w:cs="Arial"/>
          <w:b/>
          <w:color w:val="003366"/>
          <w:sz w:val="20"/>
          <w:szCs w:val="20"/>
        </w:rPr>
        <w:t>Promatrano na razini županija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, najviše poduzetnika iz djelatnosti </w:t>
      </w:r>
      <w:r w:rsidR="00560461" w:rsidRPr="009E163C">
        <w:rPr>
          <w:rFonts w:ascii="Arial" w:hAnsi="Arial" w:cs="Arial"/>
          <w:color w:val="003366"/>
          <w:sz w:val="20"/>
          <w:szCs w:val="20"/>
        </w:rPr>
        <w:t>telekomunikacija (NKD 61)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ima sjedište u Grad</w:t>
      </w:r>
      <w:r w:rsidR="00521FFD" w:rsidRPr="009E163C">
        <w:rPr>
          <w:rFonts w:ascii="Arial" w:hAnsi="Arial" w:cs="Arial"/>
          <w:color w:val="003366"/>
          <w:sz w:val="20"/>
          <w:szCs w:val="20"/>
        </w:rPr>
        <w:t>u Zagrebu (145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), a najmanje u </w:t>
      </w:r>
      <w:r w:rsidR="00521FFD" w:rsidRPr="009E163C">
        <w:rPr>
          <w:rFonts w:ascii="Arial" w:hAnsi="Arial" w:cs="Arial"/>
          <w:color w:val="003366"/>
          <w:sz w:val="20"/>
          <w:szCs w:val="20"/>
        </w:rPr>
        <w:t>Bjelovarsko-bilogorskoj, Koprivničko-križevačkoj, Požeško-slavonskoj i Virovitičko-podravskoj, i to po jedan poduzetnik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. Jednako tako najveći prihod ostvarili su poduzetnici </w:t>
      </w:r>
      <w:r w:rsidR="0038369C">
        <w:rPr>
          <w:rFonts w:ascii="Arial" w:hAnsi="Arial" w:cs="Arial"/>
          <w:color w:val="003366"/>
          <w:sz w:val="20"/>
          <w:szCs w:val="20"/>
        </w:rPr>
        <w:t xml:space="preserve">sa sjedištem 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u 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Gradu Zagrebu (12,7 milijardi kuna), kao i najveću neto dobit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u 2016. 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g</w:t>
      </w:r>
      <w:r w:rsidRPr="009E163C">
        <w:rPr>
          <w:rFonts w:ascii="Arial" w:hAnsi="Arial" w:cs="Arial"/>
          <w:color w:val="003366"/>
          <w:sz w:val="20"/>
          <w:szCs w:val="20"/>
        </w:rPr>
        <w:t>odini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 xml:space="preserve"> (1,1 milijarda kuna).</w:t>
      </w:r>
    </w:p>
    <w:p w:rsidR="00195C00" w:rsidRPr="009E163C" w:rsidRDefault="00195C00" w:rsidP="00947670">
      <w:pPr>
        <w:tabs>
          <w:tab w:val="left" w:pos="0"/>
          <w:tab w:val="right" w:pos="1134"/>
        </w:tabs>
        <w:spacing w:before="120" w:after="0"/>
        <w:jc w:val="both"/>
        <w:rPr>
          <w:rFonts w:ascii="Arial" w:hAnsi="Arial" w:cs="Arial"/>
          <w:color w:val="003366"/>
          <w:sz w:val="20"/>
          <w:szCs w:val="20"/>
        </w:rPr>
      </w:pPr>
      <w:r w:rsidRPr="009E163C">
        <w:rPr>
          <w:rFonts w:ascii="Arial" w:hAnsi="Arial" w:cs="Arial"/>
          <w:color w:val="003366"/>
          <w:sz w:val="20"/>
          <w:szCs w:val="20"/>
        </w:rPr>
        <w:t xml:space="preserve">Poduzetnici u 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djelatnosti telekomunikacij</w:t>
      </w:r>
      <w:r w:rsidR="009E163C" w:rsidRPr="009E163C">
        <w:rPr>
          <w:rFonts w:ascii="Arial" w:hAnsi="Arial" w:cs="Arial"/>
          <w:color w:val="003366"/>
          <w:sz w:val="20"/>
          <w:szCs w:val="20"/>
        </w:rPr>
        <w:t>a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na razini 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šest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županij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a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ostvarili su negativan financijski rezultat: 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Splitsko-dalmatinska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(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29,4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milijuna kuna), 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Istarska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(1,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>1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milijun kuna)</w:t>
      </w:r>
      <w:r w:rsidR="00D527AF" w:rsidRPr="009E163C">
        <w:rPr>
          <w:rFonts w:ascii="Arial" w:hAnsi="Arial" w:cs="Arial"/>
          <w:color w:val="003366"/>
          <w:sz w:val="20"/>
          <w:szCs w:val="20"/>
        </w:rPr>
        <w:t xml:space="preserve">, Karlovačka (795 tisuća kuna), Međimurska (446 tisuća kuna), Vukovarsko-srijemska (79 tisuća kuna) i Krapinsko-zagorska (27 tisuća kuna). 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Poduzetnici </w:t>
      </w:r>
      <w:r w:rsidR="00A95F2F" w:rsidRPr="009E163C">
        <w:rPr>
          <w:rFonts w:ascii="Arial" w:hAnsi="Arial" w:cs="Arial"/>
          <w:color w:val="003366"/>
          <w:sz w:val="20"/>
          <w:szCs w:val="20"/>
        </w:rPr>
        <w:t>Šibensko-kninske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županije, prethodnu 2015. godinu završili su s neto gubitkom u iznosu od </w:t>
      </w:r>
      <w:r w:rsidR="00A95F2F" w:rsidRPr="009E163C">
        <w:rPr>
          <w:rFonts w:ascii="Arial" w:hAnsi="Arial" w:cs="Arial"/>
          <w:color w:val="003366"/>
          <w:sz w:val="20"/>
          <w:szCs w:val="20"/>
        </w:rPr>
        <w:t>197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tisuć</w:t>
      </w:r>
      <w:r w:rsidR="00A95F2F" w:rsidRPr="009E163C">
        <w:rPr>
          <w:rFonts w:ascii="Arial" w:hAnsi="Arial" w:cs="Arial"/>
          <w:color w:val="003366"/>
          <w:sz w:val="20"/>
          <w:szCs w:val="20"/>
        </w:rPr>
        <w:t>a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kuna, dok su 2016. zaključili s neto dobiti u iznosu od </w:t>
      </w:r>
      <w:r w:rsidR="00A95F2F" w:rsidRPr="009E163C">
        <w:rPr>
          <w:rFonts w:ascii="Arial" w:hAnsi="Arial" w:cs="Arial"/>
          <w:color w:val="003366"/>
          <w:sz w:val="20"/>
          <w:szCs w:val="20"/>
        </w:rPr>
        <w:t>450</w:t>
      </w:r>
      <w:r w:rsidRPr="009E163C">
        <w:rPr>
          <w:rFonts w:ascii="Arial" w:hAnsi="Arial" w:cs="Arial"/>
          <w:color w:val="003366"/>
          <w:sz w:val="20"/>
          <w:szCs w:val="20"/>
        </w:rPr>
        <w:t xml:space="preserve"> tisuća kuna.</w:t>
      </w:r>
    </w:p>
    <w:p w:rsidR="00195C00" w:rsidRPr="00E064E7" w:rsidRDefault="00195C00" w:rsidP="00195C00">
      <w:pPr>
        <w:tabs>
          <w:tab w:val="left" w:pos="0"/>
          <w:tab w:val="right" w:pos="1134"/>
        </w:tabs>
        <w:spacing w:before="120" w:after="0"/>
        <w:jc w:val="both"/>
        <w:rPr>
          <w:rFonts w:ascii="Arial" w:hAnsi="Arial" w:cs="Arial"/>
          <w:color w:val="003366"/>
          <w:sz w:val="20"/>
          <w:szCs w:val="20"/>
          <w:highlight w:val="yellow"/>
        </w:rPr>
      </w:pPr>
      <w:r w:rsidRPr="00993F9E">
        <w:rPr>
          <w:rFonts w:ascii="Arial" w:hAnsi="Arial" w:cs="Arial"/>
          <w:color w:val="003366"/>
          <w:sz w:val="20"/>
          <w:szCs w:val="20"/>
        </w:rPr>
        <w:t>U grafikonu 1</w:t>
      </w:r>
      <w:r w:rsidR="00993F9E" w:rsidRPr="00993F9E">
        <w:rPr>
          <w:rFonts w:ascii="Arial" w:hAnsi="Arial" w:cs="Arial"/>
          <w:color w:val="003366"/>
          <w:sz w:val="20"/>
          <w:szCs w:val="20"/>
        </w:rPr>
        <w:t>.</w:t>
      </w:r>
      <w:r w:rsidRPr="00993F9E">
        <w:rPr>
          <w:rFonts w:ascii="Arial" w:hAnsi="Arial" w:cs="Arial"/>
          <w:color w:val="003366"/>
          <w:sz w:val="20"/>
          <w:szCs w:val="20"/>
        </w:rPr>
        <w:t xml:space="preserve"> </w:t>
      </w:r>
      <w:r w:rsidR="00993F9E" w:rsidRPr="00993F9E">
        <w:rPr>
          <w:rFonts w:ascii="Arial" w:hAnsi="Arial" w:cs="Arial"/>
          <w:color w:val="003366"/>
          <w:sz w:val="20"/>
          <w:szCs w:val="20"/>
        </w:rPr>
        <w:t>uspoređeni su poduzetnici</w:t>
      </w:r>
      <w:r w:rsidRPr="00993F9E">
        <w:rPr>
          <w:rFonts w:ascii="Arial" w:hAnsi="Arial" w:cs="Arial"/>
          <w:color w:val="003366"/>
          <w:sz w:val="20"/>
          <w:szCs w:val="20"/>
        </w:rPr>
        <w:t xml:space="preserve"> s najvećim ostvarenim prihodom u </w:t>
      </w:r>
      <w:r w:rsidR="001163B9" w:rsidRPr="00993F9E">
        <w:rPr>
          <w:rFonts w:ascii="Arial" w:hAnsi="Arial" w:cs="Arial"/>
          <w:color w:val="003366"/>
          <w:sz w:val="20"/>
          <w:szCs w:val="20"/>
        </w:rPr>
        <w:t>djelatnosti</w:t>
      </w:r>
      <w:r w:rsidRPr="00993F9E">
        <w:rPr>
          <w:rFonts w:ascii="Arial" w:hAnsi="Arial" w:cs="Arial"/>
          <w:color w:val="003366"/>
          <w:sz w:val="20"/>
          <w:szCs w:val="20"/>
        </w:rPr>
        <w:t xml:space="preserve"> </w:t>
      </w:r>
      <w:r w:rsidR="001163B9" w:rsidRPr="00993F9E">
        <w:rPr>
          <w:rFonts w:ascii="Arial" w:hAnsi="Arial" w:cs="Arial"/>
          <w:color w:val="003366"/>
          <w:sz w:val="20"/>
          <w:szCs w:val="20"/>
        </w:rPr>
        <w:t>telekomunikacij</w:t>
      </w:r>
      <w:r w:rsidR="00847005">
        <w:rPr>
          <w:rFonts w:ascii="Arial" w:hAnsi="Arial" w:cs="Arial"/>
          <w:color w:val="003366"/>
          <w:sz w:val="20"/>
          <w:szCs w:val="20"/>
        </w:rPr>
        <w:t>a</w:t>
      </w:r>
      <w:r w:rsidR="001163B9" w:rsidRPr="00993F9E">
        <w:rPr>
          <w:rFonts w:ascii="Arial" w:hAnsi="Arial" w:cs="Arial"/>
          <w:color w:val="003366"/>
          <w:sz w:val="20"/>
          <w:szCs w:val="20"/>
        </w:rPr>
        <w:t xml:space="preserve"> (NKD 61)</w:t>
      </w:r>
      <w:r w:rsidR="00847005">
        <w:rPr>
          <w:rFonts w:ascii="Arial" w:hAnsi="Arial" w:cs="Arial"/>
          <w:color w:val="003366"/>
          <w:sz w:val="20"/>
          <w:szCs w:val="20"/>
        </w:rPr>
        <w:t>,</w:t>
      </w:r>
      <w:r w:rsidR="001163B9" w:rsidRPr="00993F9E">
        <w:rPr>
          <w:rFonts w:ascii="Arial" w:hAnsi="Arial" w:cs="Arial"/>
          <w:color w:val="003366"/>
          <w:sz w:val="20"/>
          <w:szCs w:val="20"/>
        </w:rPr>
        <w:t xml:space="preserve"> </w:t>
      </w:r>
      <w:r w:rsidRPr="00993F9E">
        <w:rPr>
          <w:rFonts w:ascii="Arial" w:hAnsi="Arial" w:cs="Arial"/>
          <w:color w:val="003366"/>
          <w:sz w:val="20"/>
          <w:szCs w:val="20"/>
        </w:rPr>
        <w:t>prema produktivnosti u 2016. godini. Prema navedenom kriteriju</w:t>
      </w:r>
      <w:r w:rsidR="00B146E2" w:rsidRPr="00993F9E">
        <w:rPr>
          <w:rFonts w:ascii="Arial" w:hAnsi="Arial" w:cs="Arial"/>
          <w:color w:val="003366"/>
          <w:sz w:val="20"/>
          <w:szCs w:val="20"/>
        </w:rPr>
        <w:t xml:space="preserve"> ističe se</w:t>
      </w:r>
      <w:r w:rsidRPr="00993F9E">
        <w:rPr>
          <w:rFonts w:ascii="Arial" w:hAnsi="Arial" w:cs="Arial"/>
          <w:color w:val="003366"/>
          <w:sz w:val="20"/>
          <w:szCs w:val="20"/>
        </w:rPr>
        <w:t xml:space="preserve"> </w:t>
      </w:r>
      <w:r w:rsidR="00B146E2" w:rsidRPr="00993F9E">
        <w:rPr>
          <w:rFonts w:ascii="Arial" w:hAnsi="Arial" w:cs="Arial"/>
          <w:color w:val="003366"/>
          <w:sz w:val="20"/>
          <w:szCs w:val="20"/>
        </w:rPr>
        <w:t xml:space="preserve">društvo </w:t>
      </w:r>
      <w:hyperlink r:id="rId34" w:history="1">
        <w:r w:rsidR="00B146E2" w:rsidRPr="00467427">
          <w:rPr>
            <w:rStyle w:val="Hyperlink"/>
            <w:rFonts w:ascii="Arial" w:hAnsi="Arial" w:cs="Arial"/>
            <w:sz w:val="20"/>
            <w:szCs w:val="20"/>
          </w:rPr>
          <w:t>T</w:t>
        </w:r>
        <w:r w:rsidR="0038369C" w:rsidRPr="00467427">
          <w:rPr>
            <w:rStyle w:val="Hyperlink"/>
            <w:rFonts w:ascii="Arial" w:hAnsi="Arial" w:cs="Arial"/>
            <w:sz w:val="20"/>
            <w:szCs w:val="20"/>
          </w:rPr>
          <w:t>ele2</w:t>
        </w:r>
        <w:r w:rsidRPr="00467427">
          <w:rPr>
            <w:rStyle w:val="Hyperlink"/>
            <w:rFonts w:ascii="Arial" w:hAnsi="Arial" w:cs="Arial"/>
            <w:sz w:val="20"/>
            <w:szCs w:val="20"/>
          </w:rPr>
          <w:t xml:space="preserve"> d.o.o</w:t>
        </w:r>
        <w:r w:rsidR="00B146E2" w:rsidRPr="00467427">
          <w:rPr>
            <w:rStyle w:val="Hyperlink"/>
            <w:rFonts w:ascii="Arial" w:hAnsi="Arial" w:cs="Arial"/>
            <w:sz w:val="20"/>
            <w:szCs w:val="20"/>
          </w:rPr>
          <w:t>.</w:t>
        </w:r>
      </w:hyperlink>
      <w:r w:rsidR="00B146E2" w:rsidRPr="00993F9E">
        <w:rPr>
          <w:rFonts w:ascii="Arial" w:hAnsi="Arial" w:cs="Arial"/>
          <w:color w:val="003366"/>
          <w:sz w:val="20"/>
          <w:szCs w:val="20"/>
        </w:rPr>
        <w:t xml:space="preserve"> koje </w:t>
      </w:r>
      <w:r w:rsidRPr="00993F9E">
        <w:rPr>
          <w:rFonts w:ascii="Arial" w:hAnsi="Arial" w:cs="Arial"/>
          <w:color w:val="003366"/>
          <w:sz w:val="20"/>
          <w:szCs w:val="20"/>
        </w:rPr>
        <w:t xml:space="preserve">je ostvarilo ukupan 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prihod u iznosu od 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1,3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milijard</w:t>
      </w:r>
      <w:r w:rsidR="000820D0" w:rsidRPr="000820D0">
        <w:rPr>
          <w:rFonts w:ascii="Arial" w:hAnsi="Arial" w:cs="Arial"/>
          <w:color w:val="003366"/>
          <w:sz w:val="20"/>
          <w:szCs w:val="20"/>
        </w:rPr>
        <w:t>e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kuna,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 xml:space="preserve"> iako je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iskazalo 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negativan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financijski rezultat (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17,0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m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 xml:space="preserve">ilijuna kuna). </w:t>
      </w:r>
      <w:r w:rsidR="000820D0" w:rsidRPr="000820D0">
        <w:rPr>
          <w:rFonts w:ascii="Arial" w:hAnsi="Arial" w:cs="Arial"/>
          <w:color w:val="003366"/>
          <w:sz w:val="20"/>
          <w:szCs w:val="20"/>
        </w:rPr>
        <w:t>Društvo je z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apošljavalo</w:t>
      </w:r>
      <w:r w:rsidR="000820D0" w:rsidRPr="000820D0">
        <w:rPr>
          <w:rFonts w:ascii="Arial" w:hAnsi="Arial" w:cs="Arial"/>
          <w:color w:val="003366"/>
          <w:sz w:val="20"/>
          <w:szCs w:val="20"/>
        </w:rPr>
        <w:t xml:space="preserve"> 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154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radnika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kojima je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 xml:space="preserve"> u 2016. godini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obračunata prosječna mjesečna neto plaća u iznosu od 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16.581</w:t>
      </w:r>
      <w:r w:rsidRPr="000820D0">
        <w:rPr>
          <w:rFonts w:ascii="Arial" w:hAnsi="Arial" w:cs="Arial"/>
          <w:color w:val="003366"/>
          <w:sz w:val="20"/>
          <w:szCs w:val="20"/>
        </w:rPr>
        <w:t xml:space="preserve"> kun</w:t>
      </w:r>
      <w:r w:rsidR="000820D0" w:rsidRPr="000820D0">
        <w:rPr>
          <w:rFonts w:ascii="Arial" w:hAnsi="Arial" w:cs="Arial"/>
          <w:color w:val="003366"/>
          <w:sz w:val="20"/>
          <w:szCs w:val="20"/>
        </w:rPr>
        <w:t>u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 xml:space="preserve">, što je za 86,7 % više u odnosu na prosječnu mjesečnu neto plaću na razini svih poduzetnika u djelatnosti </w:t>
      </w:r>
      <w:r w:rsidR="000820D0" w:rsidRPr="000820D0">
        <w:rPr>
          <w:rFonts w:ascii="Arial" w:hAnsi="Arial" w:cs="Arial"/>
          <w:color w:val="003366"/>
          <w:sz w:val="20"/>
          <w:szCs w:val="20"/>
        </w:rPr>
        <w:t>telekomunikacija</w:t>
      </w:r>
      <w:r w:rsidR="00B146E2" w:rsidRPr="000820D0">
        <w:rPr>
          <w:rFonts w:ascii="Arial" w:hAnsi="Arial" w:cs="Arial"/>
          <w:color w:val="003366"/>
          <w:sz w:val="20"/>
          <w:szCs w:val="20"/>
        </w:rPr>
        <w:t>, koja je iznosila 8.880 kuna.</w:t>
      </w:r>
    </w:p>
    <w:p w:rsidR="00195C00" w:rsidRPr="007A351C" w:rsidRDefault="00195C00" w:rsidP="00195C00">
      <w:pPr>
        <w:tabs>
          <w:tab w:val="left" w:pos="0"/>
          <w:tab w:val="left" w:pos="1134"/>
        </w:tabs>
        <w:spacing w:before="180" w:after="60" w:line="240" w:lineRule="auto"/>
        <w:ind w:left="1134" w:hanging="1134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 w:rsidRPr="000820D0">
        <w:rPr>
          <w:rFonts w:ascii="Arial" w:hAnsi="Arial" w:cs="Arial"/>
          <w:b/>
          <w:color w:val="003366"/>
          <w:sz w:val="18"/>
          <w:szCs w:val="18"/>
        </w:rPr>
        <w:t>Grafikon 1.</w:t>
      </w:r>
      <w:r w:rsidRPr="000820D0">
        <w:rPr>
          <w:rFonts w:ascii="Arial" w:hAnsi="Arial" w:cs="Arial"/>
          <w:b/>
          <w:color w:val="003366"/>
          <w:sz w:val="18"/>
          <w:szCs w:val="18"/>
        </w:rPr>
        <w:tab/>
      </w:r>
      <w:r w:rsidRPr="000820D0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Usporedba pet poduzetnika s najvećim ostvarenim prihodima u 2016. godini prema pokazatelju produktivnosti u </w:t>
      </w:r>
      <w:r w:rsidR="001163B9" w:rsidRPr="000820D0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odjeljku djelatnosti NKD 61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6463"/>
        <w:gridCol w:w="3174"/>
      </w:tblGrid>
      <w:tr w:rsidR="00195C00" w:rsidRPr="008411B3" w:rsidTr="008B6E38">
        <w:trPr>
          <w:trHeight w:val="728"/>
          <w:jc w:val="center"/>
        </w:trPr>
        <w:tc>
          <w:tcPr>
            <w:tcW w:w="6463" w:type="dxa"/>
            <w:vMerge w:val="restart"/>
            <w:tcBorders>
              <w:top w:val="single" w:sz="2" w:space="0" w:color="A6A6A6"/>
              <w:left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195C00" w:rsidRPr="00F71E80" w:rsidRDefault="00D51B01" w:rsidP="003772A4">
            <w:pPr>
              <w:spacing w:after="0" w:line="240" w:lineRule="auto"/>
              <w:ind w:hanging="192"/>
              <w:rPr>
                <w:color w:val="0F243E"/>
                <w:sz w:val="18"/>
                <w:szCs w:val="18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7A6F33C1" wp14:editId="17217F3B">
                  <wp:extent cx="4118775" cy="2631882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457" cy="263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4" w:type="dxa"/>
            <w:tcBorders>
              <w:top w:val="single" w:sz="2" w:space="0" w:color="A6A6A6"/>
              <w:left w:val="single" w:sz="2" w:space="0" w:color="A6A6A6"/>
              <w:bottom w:val="single" w:sz="4" w:space="0" w:color="FFFFFF"/>
              <w:right w:val="single" w:sz="2" w:space="0" w:color="A6A6A6"/>
            </w:tcBorders>
            <w:shd w:val="clear" w:color="auto" w:fill="DBE5F1"/>
            <w:vAlign w:val="center"/>
          </w:tcPr>
          <w:p w:rsidR="00195C00" w:rsidRPr="00C93BBB" w:rsidRDefault="00195C00" w:rsidP="003772A4">
            <w:pPr>
              <w:spacing w:after="0" w:line="240" w:lineRule="auto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C93BBB">
              <w:rPr>
                <w:rFonts w:ascii="Arial" w:hAnsi="Arial" w:cs="Arial"/>
                <w:b/>
                <w:color w:val="244061"/>
                <w:sz w:val="18"/>
                <w:szCs w:val="18"/>
              </w:rPr>
              <w:t>A)</w:t>
            </w:r>
            <w:r w:rsidRPr="00C93BBB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36" w:history="1">
              <w:r w:rsidR="009746A8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Hrvatski Telekom</w:t>
              </w:r>
              <w:r w:rsidR="00D51B01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 xml:space="preserve"> d.d.</w:t>
              </w:r>
            </w:hyperlink>
          </w:p>
          <w:p w:rsidR="00195C00" w:rsidRPr="00C93BBB" w:rsidRDefault="00195C00" w:rsidP="003772A4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 w:rsidR="00D51B01" w:rsidRPr="00D51B01">
              <w:rPr>
                <w:rFonts w:ascii="Arial" w:hAnsi="Arial" w:cs="Arial"/>
                <w:color w:val="244061"/>
                <w:sz w:val="18"/>
                <w:szCs w:val="18"/>
              </w:rPr>
              <w:t>9.822.853.500 kn</w:t>
            </w:r>
          </w:p>
        </w:tc>
      </w:tr>
      <w:tr w:rsidR="00195C00" w:rsidRPr="008411B3" w:rsidTr="003772A4">
        <w:trPr>
          <w:trHeight w:val="616"/>
          <w:jc w:val="center"/>
        </w:trPr>
        <w:tc>
          <w:tcPr>
            <w:tcW w:w="64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195C00" w:rsidRPr="00F71E80" w:rsidRDefault="00195C00" w:rsidP="003772A4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174" w:type="dxa"/>
            <w:tcBorders>
              <w:top w:val="single" w:sz="4" w:space="0" w:color="FFFFFF"/>
              <w:left w:val="single" w:sz="2" w:space="0" w:color="A6A6A6"/>
              <w:bottom w:val="single" w:sz="4" w:space="0" w:color="FFFFFF"/>
              <w:right w:val="single" w:sz="2" w:space="0" w:color="A6A6A6"/>
            </w:tcBorders>
            <w:shd w:val="clear" w:color="auto" w:fill="DBE5F1"/>
            <w:vAlign w:val="center"/>
          </w:tcPr>
          <w:p w:rsidR="00D51B01" w:rsidRDefault="00195C00" w:rsidP="003772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93BBB">
              <w:rPr>
                <w:rFonts w:ascii="Arial" w:hAnsi="Arial" w:cs="Arial"/>
                <w:b/>
                <w:color w:val="244061"/>
                <w:sz w:val="18"/>
                <w:szCs w:val="18"/>
              </w:rPr>
              <w:t>B)</w:t>
            </w:r>
            <w:r w:rsidRPr="00C93BBB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37" w:history="1">
              <w:r w:rsidR="00D51B01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VIP</w:t>
              </w:r>
              <w:r w:rsidR="009746A8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net</w:t>
              </w:r>
              <w:r w:rsidR="00D51B01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 xml:space="preserve"> d.o.o.</w:t>
              </w:r>
            </w:hyperlink>
          </w:p>
          <w:p w:rsidR="00195C00" w:rsidRPr="00C93BBB" w:rsidRDefault="00195C00" w:rsidP="003772A4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93BBB"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 w:rsidR="00D51B01" w:rsidRPr="00D51B01">
              <w:rPr>
                <w:rFonts w:ascii="Arial" w:hAnsi="Arial" w:cs="Arial"/>
                <w:color w:val="244061"/>
                <w:sz w:val="18"/>
                <w:szCs w:val="18"/>
              </w:rPr>
              <w:t>454.211.000 kn</w:t>
            </w:r>
          </w:p>
        </w:tc>
      </w:tr>
      <w:tr w:rsidR="00195C00" w:rsidRPr="008411B3" w:rsidTr="003772A4">
        <w:trPr>
          <w:trHeight w:val="752"/>
          <w:jc w:val="center"/>
        </w:trPr>
        <w:tc>
          <w:tcPr>
            <w:tcW w:w="64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195C00" w:rsidRPr="00F71E80" w:rsidRDefault="00195C00" w:rsidP="003772A4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174" w:type="dxa"/>
            <w:tcBorders>
              <w:top w:val="single" w:sz="4" w:space="0" w:color="FFFFFF"/>
              <w:left w:val="single" w:sz="2" w:space="0" w:color="A6A6A6"/>
              <w:bottom w:val="single" w:sz="4" w:space="0" w:color="FFFFFF"/>
              <w:right w:val="single" w:sz="2" w:space="0" w:color="A6A6A6"/>
            </w:tcBorders>
            <w:shd w:val="clear" w:color="auto" w:fill="DBE5F1"/>
            <w:vAlign w:val="center"/>
          </w:tcPr>
          <w:p w:rsidR="00195C00" w:rsidRDefault="00195C00" w:rsidP="003772A4">
            <w:pPr>
              <w:spacing w:after="0" w:line="240" w:lineRule="auto"/>
              <w:rPr>
                <w:rFonts w:ascii="Arial" w:hAnsi="Arial" w:cs="Arial"/>
                <w:b/>
                <w:color w:val="244061"/>
                <w:sz w:val="18"/>
                <w:szCs w:val="18"/>
              </w:rPr>
            </w:pPr>
            <w:r w:rsidRPr="00C93BBB">
              <w:rPr>
                <w:rFonts w:ascii="Arial" w:hAnsi="Arial" w:cs="Arial"/>
                <w:b/>
                <w:color w:val="244061"/>
                <w:sz w:val="18"/>
                <w:szCs w:val="18"/>
              </w:rPr>
              <w:t>C)</w:t>
            </w:r>
            <w:r w:rsidRPr="00C93BBB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38" w:history="1">
              <w:r w:rsidR="00D51B01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T</w:t>
              </w:r>
              <w:r w:rsidR="0038369C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ele2</w:t>
              </w:r>
              <w:r w:rsidR="00D51B01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 xml:space="preserve"> d.o.o.</w:t>
              </w:r>
            </w:hyperlink>
          </w:p>
          <w:p w:rsidR="00195C00" w:rsidRPr="00C93BBB" w:rsidRDefault="00195C00" w:rsidP="003772A4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93BBB"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 w:rsidR="00D51B01" w:rsidRPr="00D51B01">
              <w:rPr>
                <w:rFonts w:ascii="Arial" w:hAnsi="Arial" w:cs="Arial"/>
                <w:color w:val="244061"/>
                <w:sz w:val="18"/>
                <w:szCs w:val="18"/>
              </w:rPr>
              <w:t>3.235.200.000 kn</w:t>
            </w:r>
          </w:p>
        </w:tc>
      </w:tr>
      <w:tr w:rsidR="00195C00" w:rsidRPr="008411B3" w:rsidTr="003772A4">
        <w:trPr>
          <w:trHeight w:val="690"/>
          <w:jc w:val="center"/>
        </w:trPr>
        <w:tc>
          <w:tcPr>
            <w:tcW w:w="64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195C00" w:rsidRPr="00F71E80" w:rsidRDefault="00195C00" w:rsidP="003772A4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174" w:type="dxa"/>
            <w:tcBorders>
              <w:top w:val="single" w:sz="4" w:space="0" w:color="FFFFFF"/>
              <w:left w:val="single" w:sz="2" w:space="0" w:color="A6A6A6"/>
              <w:bottom w:val="single" w:sz="4" w:space="0" w:color="FFFFFF"/>
              <w:right w:val="single" w:sz="2" w:space="0" w:color="A6A6A6"/>
            </w:tcBorders>
            <w:shd w:val="clear" w:color="auto" w:fill="DBE5F1"/>
            <w:vAlign w:val="center"/>
          </w:tcPr>
          <w:p w:rsidR="00D51B01" w:rsidRDefault="00195C00" w:rsidP="003772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93BBB">
              <w:rPr>
                <w:rFonts w:ascii="Arial" w:hAnsi="Arial" w:cs="Arial"/>
                <w:b/>
                <w:color w:val="244061"/>
                <w:sz w:val="18"/>
                <w:szCs w:val="18"/>
              </w:rPr>
              <w:t>D)</w:t>
            </w:r>
            <w:r w:rsidRPr="00C93BBB"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hyperlink r:id="rId39" w:history="1">
              <w:r w:rsidR="00D51B01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OT-OPTIMA TELEKOM d.d.</w:t>
              </w:r>
            </w:hyperlink>
          </w:p>
          <w:p w:rsidR="00195C00" w:rsidRPr="00C93BBB" w:rsidRDefault="00195C00" w:rsidP="003772A4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93BBB">
              <w:rPr>
                <w:rFonts w:ascii="Arial" w:hAnsi="Arial" w:cs="Arial"/>
                <w:color w:val="244061"/>
                <w:sz w:val="18"/>
                <w:szCs w:val="18"/>
              </w:rPr>
              <w:t xml:space="preserve">Temeljni kapital </w:t>
            </w:r>
            <w:r w:rsidR="00D51B01" w:rsidRPr="00D51B01">
              <w:rPr>
                <w:rFonts w:ascii="Arial" w:hAnsi="Arial" w:cs="Arial"/>
                <w:color w:val="244061"/>
                <w:sz w:val="18"/>
                <w:szCs w:val="18"/>
              </w:rPr>
              <w:t>635.568.080 kn</w:t>
            </w:r>
          </w:p>
        </w:tc>
      </w:tr>
      <w:tr w:rsidR="00195C00" w:rsidRPr="008411B3" w:rsidTr="008B6E38">
        <w:trPr>
          <w:trHeight w:val="735"/>
          <w:jc w:val="center"/>
        </w:trPr>
        <w:tc>
          <w:tcPr>
            <w:tcW w:w="64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195C00" w:rsidRPr="00F71E80" w:rsidRDefault="00195C00" w:rsidP="003772A4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174" w:type="dxa"/>
            <w:tcBorders>
              <w:top w:val="single" w:sz="4" w:space="0" w:color="FFFFF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BE5F1"/>
            <w:vAlign w:val="center"/>
          </w:tcPr>
          <w:p w:rsidR="00D51B01" w:rsidRDefault="00195C00" w:rsidP="003772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93BBB">
              <w:rPr>
                <w:rFonts w:ascii="Arial" w:hAnsi="Arial" w:cs="Arial"/>
                <w:b/>
                <w:color w:val="244061"/>
                <w:sz w:val="18"/>
                <w:szCs w:val="18"/>
              </w:rPr>
              <w:t xml:space="preserve">E) </w:t>
            </w:r>
            <w:hyperlink r:id="rId40" w:history="1">
              <w:r w:rsidR="00D51B01" w:rsidRPr="00467427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ISKON INTERNET d.d.</w:t>
              </w:r>
            </w:hyperlink>
          </w:p>
          <w:p w:rsidR="00195C00" w:rsidRPr="00C93BBB" w:rsidRDefault="00195C00" w:rsidP="003772A4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</w:rPr>
            </w:pPr>
            <w:r w:rsidRPr="00C93BBB">
              <w:rPr>
                <w:rFonts w:ascii="Arial" w:hAnsi="Arial" w:cs="Arial"/>
                <w:color w:val="244061"/>
                <w:sz w:val="18"/>
                <w:szCs w:val="18"/>
              </w:rPr>
              <w:t>Temeljni kapital</w:t>
            </w:r>
            <w:r>
              <w:rPr>
                <w:rFonts w:ascii="Arial" w:hAnsi="Arial" w:cs="Arial"/>
                <w:color w:val="244061"/>
                <w:sz w:val="18"/>
                <w:szCs w:val="18"/>
              </w:rPr>
              <w:t xml:space="preserve"> </w:t>
            </w:r>
            <w:r w:rsidR="00D01999" w:rsidRPr="00D01999">
              <w:rPr>
                <w:rFonts w:ascii="Arial" w:hAnsi="Arial" w:cs="Arial"/>
                <w:color w:val="244061"/>
                <w:sz w:val="18"/>
                <w:szCs w:val="18"/>
              </w:rPr>
              <w:t>420.269.100 kn</w:t>
            </w:r>
          </w:p>
        </w:tc>
      </w:tr>
      <w:tr w:rsidR="00195C00" w:rsidRPr="002D0E76" w:rsidTr="008B6E38">
        <w:trPr>
          <w:trHeight w:val="377"/>
          <w:jc w:val="center"/>
        </w:trPr>
        <w:tc>
          <w:tcPr>
            <w:tcW w:w="6463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auto"/>
          </w:tcPr>
          <w:p w:rsidR="00195C00" w:rsidRPr="00F71E80" w:rsidRDefault="00195C00" w:rsidP="003772A4">
            <w:pPr>
              <w:spacing w:after="0" w:line="240" w:lineRule="auto"/>
              <w:rPr>
                <w:noProof/>
                <w:lang w:eastAsia="hr-HR"/>
              </w:rPr>
            </w:pPr>
          </w:p>
        </w:tc>
        <w:tc>
          <w:tcPr>
            <w:tcW w:w="3174" w:type="dxa"/>
            <w:tcBorders>
              <w:top w:val="single" w:sz="4" w:space="0" w:color="FFFFF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BE5F1"/>
            <w:vAlign w:val="center"/>
          </w:tcPr>
          <w:p w:rsidR="00195C00" w:rsidRPr="002D0E76" w:rsidRDefault="00195C00" w:rsidP="003772A4">
            <w:pPr>
              <w:spacing w:after="0" w:line="240" w:lineRule="auto"/>
              <w:rPr>
                <w:rFonts w:ascii="Arial" w:hAnsi="Arial" w:cs="Arial"/>
                <w:color w:val="244061"/>
                <w:sz w:val="18"/>
                <w:szCs w:val="18"/>
                <w:highlight w:val="green"/>
              </w:rPr>
            </w:pPr>
            <w:r w:rsidRPr="009A631E">
              <w:rPr>
                <w:rFonts w:ascii="Arial" w:hAnsi="Arial" w:cs="Arial"/>
                <w:b/>
                <w:color w:val="244061"/>
                <w:sz w:val="18"/>
                <w:szCs w:val="18"/>
              </w:rPr>
              <w:t>Prosjek/produktivnost poduzetnika na razini RH</w:t>
            </w:r>
          </w:p>
        </w:tc>
      </w:tr>
    </w:tbl>
    <w:p w:rsidR="00195C00" w:rsidRDefault="00195C00" w:rsidP="00152641">
      <w:pPr>
        <w:pBdr>
          <w:bottom w:val="single" w:sz="12" w:space="1" w:color="auto"/>
        </w:pBdr>
        <w:spacing w:before="40" w:after="0"/>
        <w:rPr>
          <w:rFonts w:ascii="Arial" w:hAnsi="Arial" w:cs="Arial"/>
          <w:i/>
          <w:noProof/>
          <w:color w:val="17365D"/>
          <w:sz w:val="16"/>
          <w:szCs w:val="16"/>
          <w:lang w:eastAsia="hr-HR"/>
        </w:rPr>
      </w:pPr>
      <w:r w:rsidRPr="000820D0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Izvor: Fina,servis </w:t>
      </w:r>
      <w:hyperlink r:id="rId41" w:history="1">
        <w:r w:rsidRPr="000820D0">
          <w:rPr>
            <w:rFonts w:ascii="Arial" w:hAnsi="Arial" w:cs="Arial"/>
            <w:i/>
            <w:noProof/>
            <w:color w:val="0000FF"/>
            <w:sz w:val="16"/>
            <w:szCs w:val="16"/>
            <w:u w:val="single"/>
            <w:lang w:eastAsia="hr-HR"/>
          </w:rPr>
          <w:t>info.BIZ</w:t>
        </w:r>
      </w:hyperlink>
    </w:p>
    <w:p w:rsidR="00E064E7" w:rsidRPr="00437C17" w:rsidRDefault="00E064E7" w:rsidP="001350A8">
      <w:pPr>
        <w:pBdr>
          <w:bottom w:val="single" w:sz="12" w:space="1" w:color="auto"/>
        </w:pBdr>
        <w:spacing w:after="0"/>
        <w:rPr>
          <w:rFonts w:ascii="Arial" w:hAnsi="Arial" w:cs="Arial"/>
          <w:i/>
          <w:noProof/>
          <w:color w:val="17365D"/>
          <w:sz w:val="4"/>
          <w:szCs w:val="16"/>
          <w:lang w:eastAsia="hr-HR"/>
        </w:rPr>
      </w:pPr>
    </w:p>
    <w:p w:rsidR="00195C00" w:rsidRPr="00B93B5D" w:rsidRDefault="00E064E7" w:rsidP="00195C00">
      <w:pPr>
        <w:spacing w:before="120" w:after="0" w:line="240" w:lineRule="auto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B93B5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V</w:t>
      </w:r>
      <w:r w:rsidR="00195C00" w:rsidRPr="00B93B5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iše o rezultatima poslovanja poduzetnika po područjima djelatnosti i po drugim kriterijima, prezentirano je u </w:t>
      </w:r>
      <w:hyperlink r:id="rId42" w:history="1">
        <w:r w:rsidR="00195C00" w:rsidRPr="00B93B5D">
          <w:rPr>
            <w:rStyle w:val="Hyperlink"/>
            <w:rFonts w:ascii="Arial" w:eastAsia="Times New Roman" w:hAnsi="Arial" w:cs="Arial"/>
            <w:i/>
            <w:sz w:val="17"/>
            <w:szCs w:val="17"/>
            <w:lang w:eastAsia="hr-HR"/>
          </w:rPr>
          <w:t>standardnim analizama</w:t>
        </w:r>
      </w:hyperlink>
      <w:r w:rsidR="00195C00" w:rsidRPr="00B93B5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2016. godini. </w:t>
      </w:r>
    </w:p>
    <w:p w:rsidR="00195C00" w:rsidRPr="00B93B5D" w:rsidRDefault="00195C00" w:rsidP="00195C00">
      <w:pPr>
        <w:spacing w:before="120" w:after="0" w:line="240" w:lineRule="auto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B93B5D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B93B5D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43" w:history="1">
        <w:r w:rsidRPr="00B93B5D">
          <w:rPr>
            <w:rStyle w:val="Hyperlink"/>
            <w:rFonts w:ascii="Arial" w:hAnsi="Arial" w:cs="Arial"/>
            <w:i/>
            <w:sz w:val="17"/>
            <w:szCs w:val="17"/>
            <w:lang w:eastAsia="hr-HR"/>
          </w:rPr>
          <w:t>RGFI – javna objava</w:t>
        </w:r>
      </w:hyperlink>
      <w:r w:rsidRPr="00B93B5D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B93B5D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B93B5D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44" w:history="1">
        <w:r w:rsidRPr="00B93B5D">
          <w:rPr>
            <w:rStyle w:val="Hyperlink"/>
            <w:rFonts w:ascii="Arial" w:hAnsi="Arial" w:cs="Arial"/>
            <w:i/>
            <w:sz w:val="17"/>
            <w:szCs w:val="17"/>
            <w:lang w:eastAsia="hr-HR"/>
          </w:rPr>
          <w:t>Transparentno.hr</w:t>
        </w:r>
      </w:hyperlink>
      <w:r w:rsidRPr="00B93B5D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>,</w:t>
      </w:r>
      <w:r w:rsidRPr="00B93B5D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B93B5D">
        <w:rPr>
          <w:rFonts w:ascii="Arial" w:hAnsi="Arial" w:cs="Arial"/>
          <w:i/>
          <w:color w:val="244061"/>
          <w:sz w:val="17"/>
          <w:szCs w:val="17"/>
          <w:lang w:eastAsia="hr-HR"/>
        </w:rPr>
        <w:t xml:space="preserve">a agregirani i pojedinačni podaci dostupni su uz naknadu na servisu </w:t>
      </w:r>
      <w:hyperlink r:id="rId45" w:history="1">
        <w:r w:rsidRPr="00B93B5D">
          <w:rPr>
            <w:rStyle w:val="Hyperlink"/>
            <w:rFonts w:ascii="Arial" w:hAnsi="Arial" w:cs="Arial"/>
            <w:i/>
            <w:sz w:val="17"/>
            <w:szCs w:val="17"/>
            <w:lang w:eastAsia="hr-HR"/>
          </w:rPr>
          <w:t>info.BIZ</w:t>
        </w:r>
      </w:hyperlink>
    </w:p>
    <w:p w:rsidR="00437C17" w:rsidRPr="00B93B5D" w:rsidRDefault="00195C00" w:rsidP="00195C00">
      <w:pPr>
        <w:spacing w:before="120" w:after="120" w:line="240" w:lineRule="auto"/>
        <w:rPr>
          <w:rFonts w:ascii="Arial" w:hAnsi="Arial" w:cs="Arial"/>
          <w:bCs/>
          <w:i/>
          <w:color w:val="17365D"/>
          <w:sz w:val="17"/>
          <w:szCs w:val="17"/>
        </w:rPr>
      </w:pPr>
      <w:r w:rsidRPr="00B93B5D">
        <w:rPr>
          <w:rFonts w:ascii="Arial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46" w:history="1">
        <w:r w:rsidRPr="00B93B5D">
          <w:rPr>
            <w:rStyle w:val="Hyperlink"/>
            <w:rFonts w:ascii="Arial" w:hAnsi="Arial" w:cs="Arial"/>
            <w:bCs/>
            <w:i/>
            <w:sz w:val="17"/>
            <w:szCs w:val="17"/>
          </w:rPr>
          <w:t>FINA InfoBlokade</w:t>
        </w:r>
      </w:hyperlink>
      <w:r w:rsidRPr="00B93B5D">
        <w:rPr>
          <w:rFonts w:ascii="Arial" w:hAnsi="Arial" w:cs="Arial"/>
          <w:bCs/>
          <w:i/>
          <w:color w:val="17365D"/>
          <w:sz w:val="17"/>
          <w:szCs w:val="17"/>
        </w:rPr>
        <w:t xml:space="preserve"> slanjem SMS poruke na broj 818058, te korištenjem </w:t>
      </w:r>
      <w:hyperlink r:id="rId47" w:history="1">
        <w:r w:rsidRPr="00B93B5D">
          <w:rPr>
            <w:rStyle w:val="Hyperlink"/>
            <w:rFonts w:ascii="Arial" w:hAnsi="Arial" w:cs="Arial"/>
            <w:bCs/>
            <w:i/>
            <w:sz w:val="17"/>
            <w:szCs w:val="17"/>
          </w:rPr>
          <w:t>WEB aplikacije JRR</w:t>
        </w:r>
      </w:hyperlink>
      <w:r w:rsidRPr="00B93B5D">
        <w:rPr>
          <w:rFonts w:ascii="Arial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48" w:history="1">
        <w:r w:rsidRPr="00B93B5D">
          <w:rPr>
            <w:rStyle w:val="Hyperlink"/>
            <w:rFonts w:ascii="Arial" w:hAnsi="Arial" w:cs="Arial"/>
            <w:bCs/>
            <w:i/>
            <w:sz w:val="17"/>
            <w:szCs w:val="17"/>
          </w:rPr>
          <w:t>Jedinstvenom registru računa</w:t>
        </w:r>
      </w:hyperlink>
      <w:r w:rsidRPr="00B93B5D">
        <w:rPr>
          <w:rFonts w:ascii="Arial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</w:t>
      </w:r>
    </w:p>
    <w:tbl>
      <w:tblPr>
        <w:tblW w:w="9265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298"/>
        <w:gridCol w:w="2612"/>
        <w:gridCol w:w="3355"/>
      </w:tblGrid>
      <w:tr w:rsidR="00437C17" w:rsidRPr="008B6E38" w:rsidTr="008B6E38">
        <w:trPr>
          <w:trHeight w:val="1197"/>
          <w:jc w:val="center"/>
        </w:trPr>
        <w:tc>
          <w:tcPr>
            <w:tcW w:w="32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437C17" w:rsidRPr="008B6E38" w:rsidRDefault="00437C17" w:rsidP="00411036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8"/>
                <w:szCs w:val="19"/>
                <w:lang w:eastAsia="hr-HR"/>
              </w:rPr>
            </w:pPr>
            <w:r w:rsidRPr="008B6E38">
              <w:rPr>
                <w:rFonts w:ascii="Arial" w:eastAsia="Times New Roman" w:hAnsi="Arial" w:cs="Arial"/>
                <w:noProof/>
                <w:color w:val="808080"/>
                <w:sz w:val="18"/>
                <w:szCs w:val="17"/>
                <w:lang w:eastAsia="hr-HR"/>
              </w:rPr>
              <w:drawing>
                <wp:inline distT="0" distB="0" distL="0" distR="0" wp14:anchorId="7826C8F2" wp14:editId="02F7F0EA">
                  <wp:extent cx="2019630" cy="1677725"/>
                  <wp:effectExtent l="0" t="0" r="0" b="0"/>
                  <wp:docPr id="15" name="Slika 15" descr="Fina info šasija_210x270.jpg">
                    <a:hlinkClick xmlns:a="http://schemas.openxmlformats.org/drawingml/2006/main" r:id="rId49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67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437C17" w:rsidRPr="008B6E38" w:rsidRDefault="00437C17" w:rsidP="00411036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8"/>
                <w:szCs w:val="19"/>
                <w:lang w:eastAsia="hr-HR"/>
              </w:rPr>
            </w:pPr>
            <w:r w:rsidRPr="008B6E38">
              <w:rPr>
                <w:rFonts w:ascii="Arial" w:eastAsia="Times New Roman" w:hAnsi="Arial" w:cs="Arial"/>
                <w:i/>
                <w:noProof/>
                <w:color w:val="17365D"/>
                <w:sz w:val="18"/>
                <w:szCs w:val="19"/>
                <w:lang w:eastAsia="hr-HR"/>
              </w:rPr>
              <w:drawing>
                <wp:inline distT="0" distB="0" distL="0" distR="0" wp14:anchorId="30D1AE25" wp14:editId="77128759">
                  <wp:extent cx="1550504" cy="1685676"/>
                  <wp:effectExtent l="0" t="0" r="0" b="0"/>
                  <wp:docPr id="14" name="Slika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69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437C17" w:rsidRPr="008B6E38" w:rsidRDefault="00437C17" w:rsidP="00411036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8"/>
                <w:szCs w:val="19"/>
                <w:lang w:eastAsia="hr-HR"/>
              </w:rPr>
            </w:pPr>
            <w:r w:rsidRPr="008B6E38">
              <w:rPr>
                <w:rFonts w:ascii="Arial" w:eastAsia="Times New Roman" w:hAnsi="Arial" w:cs="Arial"/>
                <w:b/>
                <w:noProof/>
                <w:color w:val="808080"/>
                <w:sz w:val="18"/>
                <w:szCs w:val="17"/>
                <w:lang w:eastAsia="hr-HR"/>
              </w:rPr>
              <w:drawing>
                <wp:inline distT="0" distB="0" distL="0" distR="0" wp14:anchorId="1CDF4D3B" wp14:editId="3DA2997D">
                  <wp:extent cx="2051436" cy="1685677"/>
                  <wp:effectExtent l="0" t="0" r="6350" b="0"/>
                  <wp:docPr id="13" name="Slika 13" descr="smsBlokade_210x270.jpg">
                    <a:hlinkClick xmlns:a="http://schemas.openxmlformats.org/drawingml/2006/main" r:id="rId52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436" cy="1685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5C00" w:rsidRPr="00437C17" w:rsidRDefault="00195C00" w:rsidP="00437C17">
      <w:pPr>
        <w:rPr>
          <w:rFonts w:ascii="Arial" w:hAnsi="Arial" w:cs="Arial"/>
          <w:sz w:val="19"/>
          <w:szCs w:val="19"/>
        </w:rPr>
      </w:pPr>
      <w:bookmarkStart w:id="0" w:name="_GoBack"/>
      <w:bookmarkEnd w:id="0"/>
    </w:p>
    <w:sectPr w:rsidR="00195C00" w:rsidRPr="00437C17" w:rsidSect="00C26BAE">
      <w:headerReference w:type="default" r:id="rId54"/>
      <w:pgSz w:w="11906" w:h="16838"/>
      <w:pgMar w:top="113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43" w:rsidRDefault="00186743" w:rsidP="009866FC">
      <w:pPr>
        <w:spacing w:after="0" w:line="240" w:lineRule="auto"/>
      </w:pPr>
      <w:r>
        <w:separator/>
      </w:r>
    </w:p>
  </w:endnote>
  <w:endnote w:type="continuationSeparator" w:id="0">
    <w:p w:rsidR="00186743" w:rsidRDefault="00186743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43" w:rsidRDefault="00186743" w:rsidP="009866FC">
      <w:pPr>
        <w:spacing w:after="0" w:line="240" w:lineRule="auto"/>
      </w:pPr>
      <w:r>
        <w:separator/>
      </w:r>
    </w:p>
  </w:footnote>
  <w:footnote w:type="continuationSeparator" w:id="0">
    <w:p w:rsidR="00186743" w:rsidRDefault="00186743" w:rsidP="009866FC">
      <w:pPr>
        <w:spacing w:after="0" w:line="240" w:lineRule="auto"/>
      </w:pPr>
      <w:r>
        <w:continuationSeparator/>
      </w:r>
    </w:p>
  </w:footnote>
  <w:footnote w:id="1">
    <w:p w:rsidR="00411036" w:rsidRPr="00411036" w:rsidRDefault="00411036" w:rsidP="00411036">
      <w:pPr>
        <w:pStyle w:val="FootnoteText"/>
        <w:spacing w:after="0" w:line="240" w:lineRule="auto"/>
        <w:rPr>
          <w:rFonts w:ascii="Arial" w:hAnsi="Arial" w:cs="Arial"/>
          <w:color w:val="0F243E" w:themeColor="text2" w:themeShade="80"/>
          <w:sz w:val="18"/>
          <w:szCs w:val="18"/>
        </w:rPr>
      </w:pPr>
      <w:r w:rsidRPr="00411036">
        <w:rPr>
          <w:rStyle w:val="FootnoteReference"/>
          <w:rFonts w:ascii="Arial" w:hAnsi="Arial" w:cs="Arial"/>
          <w:color w:val="244061" w:themeColor="accent1" w:themeShade="80"/>
          <w:sz w:val="18"/>
          <w:szCs w:val="18"/>
        </w:rPr>
        <w:footnoteRef/>
      </w:r>
      <w:r w:rsidRPr="00411036">
        <w:rPr>
          <w:rFonts w:ascii="Arial" w:hAnsi="Arial" w:cs="Arial"/>
          <w:color w:val="244061" w:themeColor="accent1" w:themeShade="80"/>
          <w:sz w:val="18"/>
          <w:szCs w:val="18"/>
        </w:rPr>
        <w:t xml:space="preserve"> U 2017. godini društvo je ostvarilo ukupan prihod u iznosu od </w:t>
      </w:r>
      <w:r>
        <w:rPr>
          <w:rFonts w:ascii="Arial" w:hAnsi="Arial" w:cs="Arial"/>
          <w:color w:val="244061" w:themeColor="accent1" w:themeShade="80"/>
          <w:sz w:val="18"/>
          <w:szCs w:val="18"/>
        </w:rPr>
        <w:t xml:space="preserve">6.265.933.192 kuna. </w:t>
      </w:r>
    </w:p>
  </w:footnote>
  <w:footnote w:id="2">
    <w:p w:rsidR="00B93B5D" w:rsidRPr="00847005" w:rsidRDefault="00B93B5D" w:rsidP="00B93B5D">
      <w:pPr>
        <w:pStyle w:val="FootnoteText"/>
        <w:spacing w:after="0" w:line="240" w:lineRule="auto"/>
        <w:rPr>
          <w:sz w:val="18"/>
          <w:szCs w:val="18"/>
        </w:rPr>
      </w:pPr>
      <w:r w:rsidRPr="00847005">
        <w:rPr>
          <w:rStyle w:val="FootnoteReference"/>
          <w:sz w:val="18"/>
          <w:szCs w:val="18"/>
        </w:rPr>
        <w:footnoteRef/>
      </w:r>
      <w:r w:rsidRPr="00847005">
        <w:rPr>
          <w:sz w:val="18"/>
          <w:szCs w:val="18"/>
        </w:rPr>
        <w:t xml:space="preserve"> </w:t>
      </w:r>
      <w:r w:rsidRPr="00847005">
        <w:rPr>
          <w:rFonts w:ascii="Arial" w:hAnsi="Arial" w:cs="Arial"/>
          <w:color w:val="003366"/>
          <w:sz w:val="18"/>
          <w:szCs w:val="18"/>
        </w:rPr>
        <w:t xml:space="preserve">Trgovački sud u Splitu brisao je ovaj subjekt (pod nazivom H1 TELEKOM dioničko društvo za telekomunikacijske usluge) dana 13.09.2017 rješenjem </w:t>
      </w:r>
      <w:proofErr w:type="spellStart"/>
      <w:r w:rsidRPr="00847005">
        <w:rPr>
          <w:rFonts w:ascii="Arial" w:hAnsi="Arial" w:cs="Arial"/>
          <w:color w:val="003366"/>
          <w:sz w:val="18"/>
          <w:szCs w:val="18"/>
        </w:rPr>
        <w:t>Tt</w:t>
      </w:r>
      <w:proofErr w:type="spellEnd"/>
      <w:r w:rsidRPr="00847005">
        <w:rPr>
          <w:rFonts w:ascii="Arial" w:hAnsi="Arial" w:cs="Arial"/>
          <w:color w:val="003366"/>
          <w:sz w:val="18"/>
          <w:szCs w:val="18"/>
        </w:rPr>
        <w:t>-17/7497-2. Izvor: Sudski registar, preuzeto 27. travnja 2018.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F4" w:rsidRDefault="00C426F4" w:rsidP="00964547">
    <w:pPr>
      <w:pStyle w:val="Header"/>
      <w:spacing w:after="0"/>
      <w:ind w:firstLine="709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63FF9D3D" wp14:editId="60400CB1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1A9D"/>
    <w:multiLevelType w:val="hybridMultilevel"/>
    <w:tmpl w:val="96EEC260"/>
    <w:lvl w:ilvl="0" w:tplc="CA8CE8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5A45"/>
    <w:rsid w:val="00006B85"/>
    <w:rsid w:val="000124E2"/>
    <w:rsid w:val="00014932"/>
    <w:rsid w:val="0002021D"/>
    <w:rsid w:val="00020860"/>
    <w:rsid w:val="0002176E"/>
    <w:rsid w:val="000220E7"/>
    <w:rsid w:val="00031036"/>
    <w:rsid w:val="00031ABB"/>
    <w:rsid w:val="00031ED3"/>
    <w:rsid w:val="000327A0"/>
    <w:rsid w:val="00040EE8"/>
    <w:rsid w:val="00042F45"/>
    <w:rsid w:val="00052059"/>
    <w:rsid w:val="00052FBF"/>
    <w:rsid w:val="000570FB"/>
    <w:rsid w:val="00060E23"/>
    <w:rsid w:val="0007318B"/>
    <w:rsid w:val="000820D0"/>
    <w:rsid w:val="0008332C"/>
    <w:rsid w:val="00085F8C"/>
    <w:rsid w:val="00087711"/>
    <w:rsid w:val="00091544"/>
    <w:rsid w:val="00091ADF"/>
    <w:rsid w:val="00094E2A"/>
    <w:rsid w:val="000B6114"/>
    <w:rsid w:val="000B7090"/>
    <w:rsid w:val="000B7EF1"/>
    <w:rsid w:val="000C2F82"/>
    <w:rsid w:val="000D1DA3"/>
    <w:rsid w:val="000E0AB8"/>
    <w:rsid w:val="000E19F7"/>
    <w:rsid w:val="000E208A"/>
    <w:rsid w:val="000E42CF"/>
    <w:rsid w:val="000E77AE"/>
    <w:rsid w:val="000E781C"/>
    <w:rsid w:val="000E7849"/>
    <w:rsid w:val="000F0A67"/>
    <w:rsid w:val="000F0BA1"/>
    <w:rsid w:val="00106BAC"/>
    <w:rsid w:val="001100D0"/>
    <w:rsid w:val="00114F7D"/>
    <w:rsid w:val="001163B9"/>
    <w:rsid w:val="00122732"/>
    <w:rsid w:val="00122AD5"/>
    <w:rsid w:val="00124483"/>
    <w:rsid w:val="00126E82"/>
    <w:rsid w:val="0012754C"/>
    <w:rsid w:val="00134A83"/>
    <w:rsid w:val="001350A8"/>
    <w:rsid w:val="001376ED"/>
    <w:rsid w:val="001420A0"/>
    <w:rsid w:val="00142559"/>
    <w:rsid w:val="00146AD3"/>
    <w:rsid w:val="00147213"/>
    <w:rsid w:val="00151282"/>
    <w:rsid w:val="00152641"/>
    <w:rsid w:val="00156A9D"/>
    <w:rsid w:val="001720C3"/>
    <w:rsid w:val="00172642"/>
    <w:rsid w:val="00183AF6"/>
    <w:rsid w:val="0018657C"/>
    <w:rsid w:val="00186743"/>
    <w:rsid w:val="00193956"/>
    <w:rsid w:val="00195C00"/>
    <w:rsid w:val="00196324"/>
    <w:rsid w:val="001A7465"/>
    <w:rsid w:val="001B3ED5"/>
    <w:rsid w:val="001C62AF"/>
    <w:rsid w:val="001D119E"/>
    <w:rsid w:val="001D221B"/>
    <w:rsid w:val="001E1320"/>
    <w:rsid w:val="001E76E8"/>
    <w:rsid w:val="00202CCE"/>
    <w:rsid w:val="00207259"/>
    <w:rsid w:val="00207D8D"/>
    <w:rsid w:val="0021057E"/>
    <w:rsid w:val="00211862"/>
    <w:rsid w:val="00213BD8"/>
    <w:rsid w:val="002170EC"/>
    <w:rsid w:val="00231072"/>
    <w:rsid w:val="00233100"/>
    <w:rsid w:val="00244A8E"/>
    <w:rsid w:val="002502B5"/>
    <w:rsid w:val="00250840"/>
    <w:rsid w:val="002572B0"/>
    <w:rsid w:val="00257D70"/>
    <w:rsid w:val="00263151"/>
    <w:rsid w:val="00265F75"/>
    <w:rsid w:val="002952F2"/>
    <w:rsid w:val="002967E4"/>
    <w:rsid w:val="002A515B"/>
    <w:rsid w:val="002A5188"/>
    <w:rsid w:val="002A5F3B"/>
    <w:rsid w:val="002A68BF"/>
    <w:rsid w:val="002A7E5B"/>
    <w:rsid w:val="002B6DC8"/>
    <w:rsid w:val="002B7E1E"/>
    <w:rsid w:val="002C210F"/>
    <w:rsid w:val="002C249F"/>
    <w:rsid w:val="002C4B61"/>
    <w:rsid w:val="002E47A8"/>
    <w:rsid w:val="002E7103"/>
    <w:rsid w:val="00301875"/>
    <w:rsid w:val="003126BE"/>
    <w:rsid w:val="00317577"/>
    <w:rsid w:val="003316EE"/>
    <w:rsid w:val="00335807"/>
    <w:rsid w:val="003518F9"/>
    <w:rsid w:val="00357E85"/>
    <w:rsid w:val="0036309E"/>
    <w:rsid w:val="00364B73"/>
    <w:rsid w:val="00366E16"/>
    <w:rsid w:val="00374795"/>
    <w:rsid w:val="0037582C"/>
    <w:rsid w:val="00380EE9"/>
    <w:rsid w:val="00382F42"/>
    <w:rsid w:val="0038369C"/>
    <w:rsid w:val="00385FB8"/>
    <w:rsid w:val="003872FC"/>
    <w:rsid w:val="00394C9E"/>
    <w:rsid w:val="003A2CA2"/>
    <w:rsid w:val="003A5202"/>
    <w:rsid w:val="003B22BE"/>
    <w:rsid w:val="003C5BB8"/>
    <w:rsid w:val="003D3EC4"/>
    <w:rsid w:val="003E0755"/>
    <w:rsid w:val="003E5322"/>
    <w:rsid w:val="003F2EBE"/>
    <w:rsid w:val="00403CAB"/>
    <w:rsid w:val="0040412F"/>
    <w:rsid w:val="00404A28"/>
    <w:rsid w:val="00404E95"/>
    <w:rsid w:val="00411036"/>
    <w:rsid w:val="00412FBA"/>
    <w:rsid w:val="004158FD"/>
    <w:rsid w:val="00432AC1"/>
    <w:rsid w:val="00437C17"/>
    <w:rsid w:val="0044755A"/>
    <w:rsid w:val="004631E1"/>
    <w:rsid w:val="00464CDB"/>
    <w:rsid w:val="00467427"/>
    <w:rsid w:val="00474BB4"/>
    <w:rsid w:val="00474D85"/>
    <w:rsid w:val="00476F68"/>
    <w:rsid w:val="00485408"/>
    <w:rsid w:val="00486229"/>
    <w:rsid w:val="0049263A"/>
    <w:rsid w:val="00495DB3"/>
    <w:rsid w:val="004A13A7"/>
    <w:rsid w:val="004A3659"/>
    <w:rsid w:val="004A43F8"/>
    <w:rsid w:val="004B004C"/>
    <w:rsid w:val="004C0B27"/>
    <w:rsid w:val="004C3952"/>
    <w:rsid w:val="004C3F2D"/>
    <w:rsid w:val="004C741F"/>
    <w:rsid w:val="004D4460"/>
    <w:rsid w:val="004D4E1D"/>
    <w:rsid w:val="004E53EF"/>
    <w:rsid w:val="004E682E"/>
    <w:rsid w:val="004F09CF"/>
    <w:rsid w:val="004F411E"/>
    <w:rsid w:val="004F7A04"/>
    <w:rsid w:val="005164B7"/>
    <w:rsid w:val="00520229"/>
    <w:rsid w:val="00520AF5"/>
    <w:rsid w:val="00521FFD"/>
    <w:rsid w:val="00525F6D"/>
    <w:rsid w:val="005309EB"/>
    <w:rsid w:val="00536585"/>
    <w:rsid w:val="005565BC"/>
    <w:rsid w:val="00560461"/>
    <w:rsid w:val="0056391E"/>
    <w:rsid w:val="00564B82"/>
    <w:rsid w:val="00576151"/>
    <w:rsid w:val="00585AA1"/>
    <w:rsid w:val="00586ABF"/>
    <w:rsid w:val="005874B5"/>
    <w:rsid w:val="00594A8D"/>
    <w:rsid w:val="005957C8"/>
    <w:rsid w:val="005A108C"/>
    <w:rsid w:val="005A2920"/>
    <w:rsid w:val="005C0F7F"/>
    <w:rsid w:val="005C635C"/>
    <w:rsid w:val="005D3B79"/>
    <w:rsid w:val="005D6F21"/>
    <w:rsid w:val="005D77C0"/>
    <w:rsid w:val="005E2F17"/>
    <w:rsid w:val="005E5E7C"/>
    <w:rsid w:val="005F1F28"/>
    <w:rsid w:val="005F50B1"/>
    <w:rsid w:val="005F7431"/>
    <w:rsid w:val="0060798D"/>
    <w:rsid w:val="00610C6E"/>
    <w:rsid w:val="006202F3"/>
    <w:rsid w:val="0063238D"/>
    <w:rsid w:val="00637EFB"/>
    <w:rsid w:val="00641D90"/>
    <w:rsid w:val="0065737A"/>
    <w:rsid w:val="00661525"/>
    <w:rsid w:val="00676406"/>
    <w:rsid w:val="00692287"/>
    <w:rsid w:val="006A5FF9"/>
    <w:rsid w:val="006A77DA"/>
    <w:rsid w:val="006B28CA"/>
    <w:rsid w:val="006B3E8F"/>
    <w:rsid w:val="006B4877"/>
    <w:rsid w:val="006B7863"/>
    <w:rsid w:val="006D3124"/>
    <w:rsid w:val="006D31E2"/>
    <w:rsid w:val="006F12D5"/>
    <w:rsid w:val="006F49FB"/>
    <w:rsid w:val="007000AE"/>
    <w:rsid w:val="00701BCE"/>
    <w:rsid w:val="00701D8C"/>
    <w:rsid w:val="00707099"/>
    <w:rsid w:val="00711EF1"/>
    <w:rsid w:val="007130FF"/>
    <w:rsid w:val="00713A86"/>
    <w:rsid w:val="00713B17"/>
    <w:rsid w:val="00723E43"/>
    <w:rsid w:val="007245F2"/>
    <w:rsid w:val="0072575A"/>
    <w:rsid w:val="00726CF4"/>
    <w:rsid w:val="00734B38"/>
    <w:rsid w:val="007529D8"/>
    <w:rsid w:val="007632DD"/>
    <w:rsid w:val="00781C57"/>
    <w:rsid w:val="00786673"/>
    <w:rsid w:val="00794D61"/>
    <w:rsid w:val="0079584D"/>
    <w:rsid w:val="007B0E9E"/>
    <w:rsid w:val="007B12EB"/>
    <w:rsid w:val="007B456F"/>
    <w:rsid w:val="007C31ED"/>
    <w:rsid w:val="007D30FE"/>
    <w:rsid w:val="007D49B8"/>
    <w:rsid w:val="007D4A3E"/>
    <w:rsid w:val="008022C3"/>
    <w:rsid w:val="00807B0B"/>
    <w:rsid w:val="00811D70"/>
    <w:rsid w:val="00815ED4"/>
    <w:rsid w:val="00821DA6"/>
    <w:rsid w:val="00823AA7"/>
    <w:rsid w:val="00824CD7"/>
    <w:rsid w:val="0083001E"/>
    <w:rsid w:val="008316BF"/>
    <w:rsid w:val="00840408"/>
    <w:rsid w:val="00841501"/>
    <w:rsid w:val="00847005"/>
    <w:rsid w:val="008504F8"/>
    <w:rsid w:val="008535CD"/>
    <w:rsid w:val="008548ED"/>
    <w:rsid w:val="00870449"/>
    <w:rsid w:val="008809D1"/>
    <w:rsid w:val="00880D53"/>
    <w:rsid w:val="00893956"/>
    <w:rsid w:val="00895AA0"/>
    <w:rsid w:val="008B06B4"/>
    <w:rsid w:val="008B6E38"/>
    <w:rsid w:val="008B72C2"/>
    <w:rsid w:val="008D03E0"/>
    <w:rsid w:val="008D19C2"/>
    <w:rsid w:val="008D4264"/>
    <w:rsid w:val="008D5E75"/>
    <w:rsid w:val="008E3D49"/>
    <w:rsid w:val="008F701C"/>
    <w:rsid w:val="00900E21"/>
    <w:rsid w:val="00913A18"/>
    <w:rsid w:val="0092118A"/>
    <w:rsid w:val="00921CEE"/>
    <w:rsid w:val="00924732"/>
    <w:rsid w:val="00930D35"/>
    <w:rsid w:val="00933C40"/>
    <w:rsid w:val="009364F9"/>
    <w:rsid w:val="00936FD0"/>
    <w:rsid w:val="0093762D"/>
    <w:rsid w:val="00942173"/>
    <w:rsid w:val="00942A25"/>
    <w:rsid w:val="00943696"/>
    <w:rsid w:val="009447BE"/>
    <w:rsid w:val="00944D3D"/>
    <w:rsid w:val="00946C3B"/>
    <w:rsid w:val="00947615"/>
    <w:rsid w:val="00947670"/>
    <w:rsid w:val="00951F5D"/>
    <w:rsid w:val="00952964"/>
    <w:rsid w:val="00964547"/>
    <w:rsid w:val="00967A43"/>
    <w:rsid w:val="00970571"/>
    <w:rsid w:val="00971601"/>
    <w:rsid w:val="009746A8"/>
    <w:rsid w:val="009866FC"/>
    <w:rsid w:val="009874E4"/>
    <w:rsid w:val="00993F9E"/>
    <w:rsid w:val="009A0C7E"/>
    <w:rsid w:val="009B32F2"/>
    <w:rsid w:val="009B53CA"/>
    <w:rsid w:val="009B671E"/>
    <w:rsid w:val="009B6F0B"/>
    <w:rsid w:val="009C1A92"/>
    <w:rsid w:val="009C5B3B"/>
    <w:rsid w:val="009C5D06"/>
    <w:rsid w:val="009D7661"/>
    <w:rsid w:val="009E163C"/>
    <w:rsid w:val="009E1878"/>
    <w:rsid w:val="009E5F43"/>
    <w:rsid w:val="009E64E6"/>
    <w:rsid w:val="009F27AC"/>
    <w:rsid w:val="009F2CEB"/>
    <w:rsid w:val="009F6B6F"/>
    <w:rsid w:val="00A04056"/>
    <w:rsid w:val="00A06CE6"/>
    <w:rsid w:val="00A10944"/>
    <w:rsid w:val="00A140F1"/>
    <w:rsid w:val="00A1505D"/>
    <w:rsid w:val="00A42162"/>
    <w:rsid w:val="00A43935"/>
    <w:rsid w:val="00A459EB"/>
    <w:rsid w:val="00A46DF9"/>
    <w:rsid w:val="00A50664"/>
    <w:rsid w:val="00A50D06"/>
    <w:rsid w:val="00A52E8A"/>
    <w:rsid w:val="00A53A3F"/>
    <w:rsid w:val="00A5703D"/>
    <w:rsid w:val="00A5740B"/>
    <w:rsid w:val="00A72757"/>
    <w:rsid w:val="00A75ACB"/>
    <w:rsid w:val="00A7691F"/>
    <w:rsid w:val="00A8379D"/>
    <w:rsid w:val="00A95F2F"/>
    <w:rsid w:val="00A96EEB"/>
    <w:rsid w:val="00AA1A72"/>
    <w:rsid w:val="00AA1B65"/>
    <w:rsid w:val="00AB5BE8"/>
    <w:rsid w:val="00AB6738"/>
    <w:rsid w:val="00AC0C16"/>
    <w:rsid w:val="00AC2726"/>
    <w:rsid w:val="00AC4201"/>
    <w:rsid w:val="00AC7AA6"/>
    <w:rsid w:val="00AE335C"/>
    <w:rsid w:val="00AF2A3C"/>
    <w:rsid w:val="00B05FDD"/>
    <w:rsid w:val="00B1113C"/>
    <w:rsid w:val="00B12B2F"/>
    <w:rsid w:val="00B146E2"/>
    <w:rsid w:val="00B23588"/>
    <w:rsid w:val="00B3420F"/>
    <w:rsid w:val="00B652E7"/>
    <w:rsid w:val="00B72D97"/>
    <w:rsid w:val="00B73D5E"/>
    <w:rsid w:val="00B74577"/>
    <w:rsid w:val="00B808EB"/>
    <w:rsid w:val="00B80C94"/>
    <w:rsid w:val="00B8509B"/>
    <w:rsid w:val="00B87CE2"/>
    <w:rsid w:val="00B93B5D"/>
    <w:rsid w:val="00B93B8D"/>
    <w:rsid w:val="00B968D5"/>
    <w:rsid w:val="00BA0701"/>
    <w:rsid w:val="00BA3956"/>
    <w:rsid w:val="00BA42FD"/>
    <w:rsid w:val="00BB04B8"/>
    <w:rsid w:val="00BB35D3"/>
    <w:rsid w:val="00BB3B21"/>
    <w:rsid w:val="00BB5D0C"/>
    <w:rsid w:val="00BB678D"/>
    <w:rsid w:val="00BB75EA"/>
    <w:rsid w:val="00BC3773"/>
    <w:rsid w:val="00BC4AB0"/>
    <w:rsid w:val="00BC7840"/>
    <w:rsid w:val="00BD014C"/>
    <w:rsid w:val="00BD726D"/>
    <w:rsid w:val="00BE73A5"/>
    <w:rsid w:val="00BF2424"/>
    <w:rsid w:val="00BF64F3"/>
    <w:rsid w:val="00C02060"/>
    <w:rsid w:val="00C123CE"/>
    <w:rsid w:val="00C178EC"/>
    <w:rsid w:val="00C25479"/>
    <w:rsid w:val="00C26BAE"/>
    <w:rsid w:val="00C30D35"/>
    <w:rsid w:val="00C33AD3"/>
    <w:rsid w:val="00C34F03"/>
    <w:rsid w:val="00C426F4"/>
    <w:rsid w:val="00C51B1E"/>
    <w:rsid w:val="00C6585C"/>
    <w:rsid w:val="00C66CC0"/>
    <w:rsid w:val="00C72381"/>
    <w:rsid w:val="00C7424D"/>
    <w:rsid w:val="00C83ECB"/>
    <w:rsid w:val="00C93E4D"/>
    <w:rsid w:val="00C94890"/>
    <w:rsid w:val="00CB2159"/>
    <w:rsid w:val="00CB47FF"/>
    <w:rsid w:val="00CC70E4"/>
    <w:rsid w:val="00CD6D82"/>
    <w:rsid w:val="00CE057A"/>
    <w:rsid w:val="00CE0A60"/>
    <w:rsid w:val="00CE3EC5"/>
    <w:rsid w:val="00CE6AA8"/>
    <w:rsid w:val="00CF45E8"/>
    <w:rsid w:val="00CF45F8"/>
    <w:rsid w:val="00CF658C"/>
    <w:rsid w:val="00D01999"/>
    <w:rsid w:val="00D052A7"/>
    <w:rsid w:val="00D069A1"/>
    <w:rsid w:val="00D10F4D"/>
    <w:rsid w:val="00D145F4"/>
    <w:rsid w:val="00D17302"/>
    <w:rsid w:val="00D17FA2"/>
    <w:rsid w:val="00D23BA1"/>
    <w:rsid w:val="00D263A1"/>
    <w:rsid w:val="00D46E47"/>
    <w:rsid w:val="00D51B01"/>
    <w:rsid w:val="00D527AF"/>
    <w:rsid w:val="00D5437F"/>
    <w:rsid w:val="00D63C70"/>
    <w:rsid w:val="00D86AC5"/>
    <w:rsid w:val="00DA0CDC"/>
    <w:rsid w:val="00DB30E6"/>
    <w:rsid w:val="00DB3CF7"/>
    <w:rsid w:val="00DD76B6"/>
    <w:rsid w:val="00DE3A8E"/>
    <w:rsid w:val="00DE3E28"/>
    <w:rsid w:val="00DE44F4"/>
    <w:rsid w:val="00DE4B63"/>
    <w:rsid w:val="00DE5D03"/>
    <w:rsid w:val="00DF3B90"/>
    <w:rsid w:val="00DF604C"/>
    <w:rsid w:val="00E02642"/>
    <w:rsid w:val="00E047CA"/>
    <w:rsid w:val="00E0515E"/>
    <w:rsid w:val="00E064E7"/>
    <w:rsid w:val="00E06F9D"/>
    <w:rsid w:val="00E10396"/>
    <w:rsid w:val="00E1052F"/>
    <w:rsid w:val="00E37F64"/>
    <w:rsid w:val="00E408FF"/>
    <w:rsid w:val="00E52FC3"/>
    <w:rsid w:val="00E54AF3"/>
    <w:rsid w:val="00E711EE"/>
    <w:rsid w:val="00E752E6"/>
    <w:rsid w:val="00E77461"/>
    <w:rsid w:val="00E835EE"/>
    <w:rsid w:val="00E9299A"/>
    <w:rsid w:val="00EA300C"/>
    <w:rsid w:val="00EA4333"/>
    <w:rsid w:val="00EB132A"/>
    <w:rsid w:val="00ED0BDE"/>
    <w:rsid w:val="00ED2450"/>
    <w:rsid w:val="00EE12FB"/>
    <w:rsid w:val="00EE5196"/>
    <w:rsid w:val="00EE6772"/>
    <w:rsid w:val="00EE753B"/>
    <w:rsid w:val="00F03C24"/>
    <w:rsid w:val="00F04C4A"/>
    <w:rsid w:val="00F05780"/>
    <w:rsid w:val="00F10F05"/>
    <w:rsid w:val="00F2038C"/>
    <w:rsid w:val="00F207F0"/>
    <w:rsid w:val="00F215F8"/>
    <w:rsid w:val="00F27327"/>
    <w:rsid w:val="00F409D0"/>
    <w:rsid w:val="00F40FBA"/>
    <w:rsid w:val="00F42FAA"/>
    <w:rsid w:val="00F47876"/>
    <w:rsid w:val="00F65DF5"/>
    <w:rsid w:val="00F71D68"/>
    <w:rsid w:val="00F72584"/>
    <w:rsid w:val="00F74DF8"/>
    <w:rsid w:val="00F852D2"/>
    <w:rsid w:val="00F90008"/>
    <w:rsid w:val="00FA332A"/>
    <w:rsid w:val="00FB38FA"/>
    <w:rsid w:val="00FB3D66"/>
    <w:rsid w:val="00FC5C51"/>
    <w:rsid w:val="00FE3992"/>
    <w:rsid w:val="00FF594E"/>
    <w:rsid w:val="00FF5B74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12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04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1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12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04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1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63416846512/9ce91b2a1a433ca550b43c33144897f7dc6100634696f79501168305a0518a244694504511105c6b58282161e720b43bbb9986032744ad4f7f6934103ca73d80" TargetMode="External"/><Relationship Id="rId18" Type="http://schemas.openxmlformats.org/officeDocument/2006/relationships/hyperlink" Target="https://www.transparentno.hr/pregled/85457640499/3bd8fe6c25f20e0ebba8d43358ba2ec606b09fea660d284cf03fb0c3dd77ec070c3349cdf302affd8be5bede40252e1eb776fb72caf1abf4daae65f3c7ed8c57" TargetMode="External"/><Relationship Id="rId26" Type="http://schemas.openxmlformats.org/officeDocument/2006/relationships/hyperlink" Target="https://www.transparentno.hr/pregled/36779353407/522a7645a4975d855cb58ce692b89684e5def93660a38e6511bc1a0b7656e3ce6b8eadcbd78739e0096cbec9dc0e2e1fd77c09f605d68642c29bb979163bc2b8" TargetMode="External"/><Relationship Id="rId39" Type="http://schemas.openxmlformats.org/officeDocument/2006/relationships/hyperlink" Target="https://www.transparentno.hr/pregled/36004425025/96198b9788567be96450c65888816d9c494db36588abecfba4cffffb2bdacd25fa892cd6d60780dcb610e96ac0485660dc7ee07f65a069248b2007b496cf89f5" TargetMode="External"/><Relationship Id="rId21" Type="http://schemas.openxmlformats.org/officeDocument/2006/relationships/hyperlink" Target="https://www.transparentno.hr/pregled/81793146560/c63cc0ae668842997a51401b0d35325c0bfa6660130c69ac727a65ec13514e7c19281373012062d7ad5e0b8205f92c25d1ee9b65c620c4cacfc1a33b24e5f236" TargetMode="External"/><Relationship Id="rId34" Type="http://schemas.openxmlformats.org/officeDocument/2006/relationships/hyperlink" Target="https://www.transparentno.hr/pregled/70133616033/28be9a8bf436dbc00ba7b611bc7f61736213439c3a27f04d28273cefb0dad24cfb68fedb13281d051a57829ad0e32be9a4067a783841933fad94a2527d72eca6" TargetMode="External"/><Relationship Id="rId42" Type="http://schemas.openxmlformats.org/officeDocument/2006/relationships/hyperlink" Target="http://www.fina.hr/Default.aspx?sec=1279" TargetMode="External"/><Relationship Id="rId47" Type="http://schemas.openxmlformats.org/officeDocument/2006/relationships/hyperlink" Target="https://jrr.fina.hr/jrir/" TargetMode="External"/><Relationship Id="rId50" Type="http://schemas.openxmlformats.org/officeDocument/2006/relationships/image" Target="media/image2.jpe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64823728693/c6049f5078f7a09239c1d7ae157d9ff5d4e3bddb49a4f6089fa50a9d75e2283bcbfb7cb46e51862b92999293e55c8f1da6e7c2088bad6d3899bdb01165226bf5" TargetMode="External"/><Relationship Id="rId29" Type="http://schemas.openxmlformats.org/officeDocument/2006/relationships/hyperlink" Target="https://www.transparentno.hr/pregled/29524210204/8c87943edd25234adb924571bdc9306fda0a6c077173757b2a422d05cb4c33bdc390a9e2e3148f45096cb32c41b2f2dc2d9e12f46a7ed196a93103502860ddbe" TargetMode="External"/><Relationship Id="rId11" Type="http://schemas.openxmlformats.org/officeDocument/2006/relationships/hyperlink" Target="https://sudreg.pravosudje.hr/registar/f?p=150:28:0::NO:28:P28_SBT_MBS:080521101" TargetMode="External"/><Relationship Id="rId24" Type="http://schemas.openxmlformats.org/officeDocument/2006/relationships/hyperlink" Target="https://www.transparentno.hr/pregled/70133616033/28be9a8bf436dbc00ba7b611bc7f61736213439c3a27f04d28273cefb0dad24cfb68fedb13281d051a57829ad0e32be9a4067a783841933fad94a2527d72eca6" TargetMode="External"/><Relationship Id="rId32" Type="http://schemas.openxmlformats.org/officeDocument/2006/relationships/hyperlink" Target="https://www.transparentno.hr/pregled/81793146560/c63cc0ae668842997a51401b0d35325c0bfa6660130c69ac727a65ec13514e7c19281373012062d7ad5e0b8205f92c25d1ee9b65c620c4cacfc1a33b24e5f236" TargetMode="External"/><Relationship Id="rId37" Type="http://schemas.openxmlformats.org/officeDocument/2006/relationships/hyperlink" Target="https://www.transparentno.hr/pregled/29524210204/8c87943edd25234adb924571bdc9306fda0a6c077173757b2a422d05cb4c33bdc390a9e2e3148f45096cb32c41b2f2dc2d9e12f46a7ed196a93103502860ddbe" TargetMode="External"/><Relationship Id="rId40" Type="http://schemas.openxmlformats.org/officeDocument/2006/relationships/hyperlink" Target="https://www.transparentno.hr/pregled/36779353407/522a7645a4975d855cb58ce692b89684e5def93660a38e6511bc1a0b7656e3ce6b8eadcbd78739e0096cbec9dc0e2e1fd77c09f605d68642c29bb979163bc2b8" TargetMode="External"/><Relationship Id="rId45" Type="http://schemas.openxmlformats.org/officeDocument/2006/relationships/hyperlink" Target="http://www.fina.hr/Default.aspx?art=8958&amp;sec=1275" TargetMode="External"/><Relationship Id="rId53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s://www.transparentno.hr/pregled/00565279090/9910e9f4fad9f3bc43127672f28d4fa485a18f3acf6b5d2045a8839c79957462873b4b48da41235f6c187cc3e3dfb14404564982dd848ce1a9f3583b172b511e" TargetMode="External"/><Relationship Id="rId19" Type="http://schemas.openxmlformats.org/officeDocument/2006/relationships/hyperlink" Target="https://www.transparentno.hr/pregled/61484131869/a05326b5d3e981223a065d36a704bdc673670d272d419832e3142493dfcc94b82d1bb6a0b078306c4c0cf234986edcd410cb2cad7e0e722964743805b783e955" TargetMode="External"/><Relationship Id="rId31" Type="http://schemas.openxmlformats.org/officeDocument/2006/relationships/hyperlink" Target="https://www.transparentno.hr/pregled/23269006802/bc8c7863564f359d47a7ea736467accdb5e701e1706d52f79f309933461e8b4a7d7856576a6bbc3f26b9e1e1d60105c534eb2dfa459341ef8b66f72403beeda0" TargetMode="External"/><Relationship Id="rId44" Type="http://schemas.openxmlformats.org/officeDocument/2006/relationships/hyperlink" Target="https://www.transparentno.hr/" TargetMode="External"/><Relationship Id="rId52" Type="http://schemas.openxmlformats.org/officeDocument/2006/relationships/hyperlink" Target="http://www.fina.hr/lgs.axd?t=24&amp;id=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81793146560/c63cc0ae668842997a51401b0d35325c0bfa6660130c69ac727a65ec13514e7c19281373012062d7ad5e0b8205f92c25d1ee9b65c620c4cacfc1a33b24e5f236" TargetMode="External"/><Relationship Id="rId14" Type="http://schemas.openxmlformats.org/officeDocument/2006/relationships/hyperlink" Target="https://www.transparentno.hr/pregled/88150534338/a59d2d5a31714415be96ae38b29e8496ffb0d02b3d98cb6cc285e826f5836a3f672dc2cf95a1ed6de1b142461a66c6e37c8424c0ad7871d2be4576a44cc71f28" TargetMode="External"/><Relationship Id="rId22" Type="http://schemas.openxmlformats.org/officeDocument/2006/relationships/hyperlink" Target="https://www.transparentno.hr/pregled/81793146560/c63cc0ae668842997a51401b0d35325c0bfa6660130c69ac727a65ec13514e7c19281373012062d7ad5e0b8205f92c25d1ee9b65c620c4cacfc1a33b24e5f236" TargetMode="External"/><Relationship Id="rId27" Type="http://schemas.openxmlformats.org/officeDocument/2006/relationships/hyperlink" Target="https://www.transparentno.hr/pregled/81793146560/c63cc0ae668842997a51401b0d35325c0bfa6660130c69ac727a65ec13514e7c19281373012062d7ad5e0b8205f92c25d1ee9b65c620c4cacfc1a33b24e5f236" TargetMode="External"/><Relationship Id="rId30" Type="http://schemas.openxmlformats.org/officeDocument/2006/relationships/hyperlink" Target="https://www.transparentno.hr/pregled/88150534338/a59d2d5a31714415be96ae38b29e8496ffb0d02b3d98cb6cc285e826f5836a3f672dc2cf95a1ed6de1b142461a66c6e37c8424c0ad7871d2be4576a44cc71f28" TargetMode="External"/><Relationship Id="rId35" Type="http://schemas.openxmlformats.org/officeDocument/2006/relationships/image" Target="media/image1.png"/><Relationship Id="rId43" Type="http://schemas.openxmlformats.org/officeDocument/2006/relationships/hyperlink" Target="http://rgfi.fina.hr/JavnaObjava-web/jsp/prijavaKorisnika.jsp" TargetMode="External"/><Relationship Id="rId48" Type="http://schemas.openxmlformats.org/officeDocument/2006/relationships/hyperlink" Target="http://www.fina.hr/Default.aspx?sec=972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hyperlink" Target="https://www.transparentno.hr/pregled/80112273645/1709dba2eb7bd29ab5b0936abb1bdcafbc7074fcc510a2a0b2a30f9a7b6eb28bf8cf0c04faa943e8ea96b042bf33a2462805964479f7efa3d6766f870ba7438b" TargetMode="External"/><Relationship Id="rId17" Type="http://schemas.openxmlformats.org/officeDocument/2006/relationships/hyperlink" Target="https://www.transparentno.hr/pregled/28916589172/39c52518f4cd583b6aab8567cbaea7f2e83fea81126ef0ef02a2230a6640ee7587a54df16b73d4b1685a36024d32bb84213b40b553abe845d606ca807ba1d27f" TargetMode="External"/><Relationship Id="rId25" Type="http://schemas.openxmlformats.org/officeDocument/2006/relationships/hyperlink" Target="https://www.transparentno.hr/pregled/36004425025/96198b9788567be96450c65888816d9c494db36588abecfba4cffffb2bdacd25fa892cd6d60780dcb610e96ac0485660dc7ee07f65a069248b2007b496cf89f5" TargetMode="External"/><Relationship Id="rId33" Type="http://schemas.openxmlformats.org/officeDocument/2006/relationships/hyperlink" Target="https://www.transparentno.hr/pregled/81793146560/c63cc0ae668842997a51401b0d35325c0bfa6660130c69ac727a65ec13514e7c19281373012062d7ad5e0b8205f92c25d1ee9b65c620c4cacfc1a33b24e5f236" TargetMode="External"/><Relationship Id="rId38" Type="http://schemas.openxmlformats.org/officeDocument/2006/relationships/hyperlink" Target="https://www.transparentno.hr/pregled/70133616033/28be9a8bf436dbc00ba7b611bc7f61736213439c3a27f04d28273cefb0dad24cfb68fedb13281d051a57829ad0e32be9a4067a783841933fad94a2527d72eca6" TargetMode="External"/><Relationship Id="rId46" Type="http://schemas.openxmlformats.org/officeDocument/2006/relationships/hyperlink" Target="http://www.fina.hr/Default.aspx?sec=1538" TargetMode="External"/><Relationship Id="rId20" Type="http://schemas.openxmlformats.org/officeDocument/2006/relationships/hyperlink" Target="https://www.transparentno.hr/pregled/81793146560/c63cc0ae668842997a51401b0d35325c0bfa6660130c69ac727a65ec13514e7c19281373012062d7ad5e0b8205f92c25d1ee9b65c620c4cacfc1a33b24e5f236" TargetMode="External"/><Relationship Id="rId41" Type="http://schemas.openxmlformats.org/officeDocument/2006/relationships/hyperlink" Target="http://www.fina.hr/Default.aspx?art=8958&amp;sec=1275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transparentno.hr/pregled/88580513599/825e164b0c88737d9981619e77a79d35cfea79751a3a500e9e4d927a0ab6cd77353561bbff3a1cddef3c8045907b11ca6f3951c04e865adf61c6a076177defa3" TargetMode="External"/><Relationship Id="rId23" Type="http://schemas.openxmlformats.org/officeDocument/2006/relationships/hyperlink" Target="https://www.transparentno.hr/pregled/29524210204/8c87943edd25234adb924571bdc9306fda0a6c077173757b2a422d05cb4c33bdc390a9e2e3148f45096cb32c41b2f2dc2d9e12f46a7ed196a93103502860ddbe" TargetMode="External"/><Relationship Id="rId28" Type="http://schemas.openxmlformats.org/officeDocument/2006/relationships/hyperlink" Target="https://www.transparentno.hr/pregled/00565279090/9910e9f4fad9f3bc43127672f28d4fa485a18f3acf6b5d2045a8839c79957462873b4b48da41235f6c187cc3e3dfb14404564982dd848ce1a9f3583b172b511e" TargetMode="External"/><Relationship Id="rId36" Type="http://schemas.openxmlformats.org/officeDocument/2006/relationships/hyperlink" Target="https://www.transparentno.hr/pregled/81793146560/c63cc0ae668842997a51401b0d35325c0bfa6660130c69ac727a65ec13514e7c19281373012062d7ad5e0b8205f92c25d1ee9b65c620c4cacfc1a33b24e5f236" TargetMode="External"/><Relationship Id="rId49" Type="http://schemas.openxmlformats.org/officeDocument/2006/relationships/hyperlink" Target="http://www.fina.hr/Default.aspx?sec=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9208-2F1A-4A5F-AF2A-7F64BAE4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2743</Words>
  <Characters>15636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18343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admin</cp:lastModifiedBy>
  <cp:revision>2</cp:revision>
  <cp:lastPrinted>2014-09-19T12:19:00Z</cp:lastPrinted>
  <dcterms:created xsi:type="dcterms:W3CDTF">2018-05-15T09:13:00Z</dcterms:created>
  <dcterms:modified xsi:type="dcterms:W3CDTF">2018-05-15T09:13:00Z</dcterms:modified>
</cp:coreProperties>
</file>