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3B" w:rsidRPr="009C35F6" w:rsidRDefault="00FF003B" w:rsidP="009C35F6">
      <w:pPr>
        <w:spacing w:before="60" w:after="0"/>
        <w:jc w:val="both"/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</w:pPr>
      <w:r w:rsidRPr="009C35F6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Zagreb, </w:t>
      </w:r>
      <w:r w:rsidR="005937B1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13. listopada</w:t>
      </w:r>
      <w:r w:rsidR="0023676B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 2017.</w:t>
      </w:r>
    </w:p>
    <w:p w:rsidR="00FF003B" w:rsidRPr="009C35F6" w:rsidRDefault="00FF003B" w:rsidP="00FF003B">
      <w:pPr>
        <w:spacing w:before="120" w:after="0" w:line="288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Uvod</w:t>
      </w:r>
    </w:p>
    <w:p w:rsidR="00FF003B" w:rsidRPr="009C35F6" w:rsidRDefault="00FF003B" w:rsidP="00B567C8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sudskih i javnobilježničkih osiguranja tražbina vjerovnika (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skraćeno: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založnih prava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, dalje u tekstu: Upisnik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) jedinstvena je baza podataka o upisanim opterećenjima, pravima ili zabranama na pokretninama, dionicama, udjelima i poslovnim udjelima.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Upisnik je ustrojen 2006. godine na temelju Zakona o upisniku sudskih i javnobilježničkih osiguranja tražbina vjerovnika na pokretnim stvarima i pravima (NN 121/05) i vodi ga Financijska agencija.</w:t>
      </w:r>
    </w:p>
    <w:p w:rsidR="008F1FC3" w:rsidRPr="009C35F6" w:rsidRDefault="008F1FC3" w:rsidP="00F45C24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Sudska i javnobilježnička založna prava na temelju sporazuma stranaka i prijenosi prava vlasništva i drugih prava, dionica, udjela i poslovnih udjela obavljeni radi osiguranja, stječu se odnosno prenose upisom u Upisnik. Predmeti i prava na kojima se stječe neko pravo osiguranjem ili ovrhom, a koja se upisuju u Upisnik su sljedeća: pokretne stvari i prava, dionice, udjeli i poslovni udjeli u trgovačkom društvu koji se ne upisuju u drugu javnu knjigu, vozila u javnoj evidenciji Ministarstva unutarnjih poslova, patenti, upisani u Registar za patente Državnog zavoda za intelektualno vlasništvo. To su najčešće automobili, strojevi, računala, umjetnička djela, namještaj, poljoprivredni strojevi, poljoprivredno stado, poljoprivredni urod, ukupnost stvari (npr. roba u skladištu), patenti, dionice koje nisu upisane na računima u </w:t>
      </w:r>
      <w:r w:rsidR="00A760A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Središnjem klirinško depozitarnom društvu d.d.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i poslovni udjeli u trgovačkim društvima.</w:t>
      </w:r>
    </w:p>
    <w:p w:rsidR="008F1FC3" w:rsidRPr="009C35F6" w:rsidRDefault="002E7775" w:rsidP="00F45C24">
      <w:pPr>
        <w:spacing w:before="120" w:after="0"/>
        <w:jc w:val="both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Informacija o broju upisanih pokretnina i prava u Upisniku</w:t>
      </w:r>
    </w:p>
    <w:p w:rsidR="00E14164" w:rsidRPr="00E14164" w:rsidRDefault="00E14164" w:rsidP="00F45C24">
      <w:pPr>
        <w:tabs>
          <w:tab w:val="left" w:pos="1701"/>
          <w:tab w:val="left" w:pos="1985"/>
        </w:tabs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U Upisnik sudskih i javnobilježničkih osiguranja</w:t>
      </w:r>
      <w:r w:rsidR="00DA56D8">
        <w:rPr>
          <w:rFonts w:ascii="Arial" w:hAnsi="Arial" w:cs="Arial"/>
          <w:color w:val="244061" w:themeColor="accent1" w:themeShade="80"/>
          <w:sz w:val="20"/>
          <w:szCs w:val="20"/>
        </w:rPr>
        <w:t xml:space="preserve"> tražbina vjerovnika (skraćeno: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Upisnik), upisan je veliki broj prava i mjera na pokretnim stvarima i pravima. Od početka rada Upisnika 2006. godine do 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 xml:space="preserve">30. </w:t>
      </w:r>
      <w:r w:rsidR="005937B1">
        <w:rPr>
          <w:rFonts w:ascii="Arial" w:hAnsi="Arial" w:cs="Arial"/>
          <w:color w:val="244061" w:themeColor="accent1" w:themeShade="80"/>
          <w:sz w:val="20"/>
          <w:szCs w:val="20"/>
        </w:rPr>
        <w:t>rujna</w:t>
      </w:r>
      <w:r w:rsidR="00903589">
        <w:rPr>
          <w:rFonts w:ascii="Arial" w:hAnsi="Arial" w:cs="Arial"/>
          <w:color w:val="244061" w:themeColor="accent1" w:themeShade="80"/>
          <w:sz w:val="20"/>
          <w:szCs w:val="20"/>
        </w:rPr>
        <w:t xml:space="preserve"> 2017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 godine, broj provedenih upisa koje je provela Fina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ncijska agencija dosegnuo je 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723.292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upisanih pokretnina i prava. Najveći broj odnosi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322.145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a iza toga prema broju upisa slijede vozila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179.035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računala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98.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139</w:t>
      </w:r>
      <w:r w:rsidR="00EA70A7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strojevi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56.386</w:t>
      </w:r>
      <w:r w:rsidR="005D6C3A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stado/stoka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50.269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14164" w:rsidRPr="00E14164" w:rsidRDefault="00E14164" w:rsidP="00F45C24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Drugu skupinu od sveukupno 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17.318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upisanih predmeta osigur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anja čine: poljoprivredni urod 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7.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460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, udjeli i poslovni udjele 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6.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97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ukupnost stvari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2.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65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dionice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patent</w:t>
      </w:r>
      <w:r w:rsidR="005611FE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upisa.</w:t>
      </w:r>
    </w:p>
    <w:p w:rsidR="00E14164" w:rsidRDefault="00E14164" w:rsidP="00F45C24">
      <w:p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 međuvremenu, od prethodno objavljene informacije za razdoblje zaključno s </w:t>
      </w:r>
      <w:r w:rsidR="005937B1">
        <w:rPr>
          <w:rFonts w:ascii="Arial" w:hAnsi="Arial" w:cs="Arial"/>
          <w:color w:val="244061" w:themeColor="accent1" w:themeShade="80"/>
          <w:sz w:val="20"/>
          <w:szCs w:val="20"/>
        </w:rPr>
        <w:t>30. lipnja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 xml:space="preserve"> 2017.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upisano je novih 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5.128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pokretnin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i prava</w:t>
      </w:r>
      <w:r w:rsidR="00EA4C7E">
        <w:rPr>
          <w:rFonts w:ascii="Arial" w:hAnsi="Arial" w:cs="Arial"/>
          <w:color w:val="244061" w:themeColor="accent1" w:themeShade="80"/>
          <w:sz w:val="20"/>
          <w:szCs w:val="20"/>
        </w:rPr>
        <w:t>. N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ajveći broj u </w:t>
      </w:r>
      <w:r w:rsidR="00B34924">
        <w:rPr>
          <w:rFonts w:ascii="Arial" w:hAnsi="Arial" w:cs="Arial"/>
          <w:color w:val="244061" w:themeColor="accent1" w:themeShade="80"/>
          <w:sz w:val="20"/>
          <w:szCs w:val="20"/>
        </w:rPr>
        <w:t xml:space="preserve">razdoblju 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srpanj-rujan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odnosio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2.253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>vozila</w:t>
      </w:r>
      <w:r w:rsidR="00CB08E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1.089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 i na strojeve (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704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dok je broj upisanih patenata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ostao nepromijenjen.</w:t>
      </w:r>
    </w:p>
    <w:p w:rsidR="00D3194F" w:rsidRPr="009C35F6" w:rsidRDefault="00FF003B" w:rsidP="00F45C24">
      <w:pPr>
        <w:tabs>
          <w:tab w:val="left" w:pos="1701"/>
          <w:tab w:val="left" w:pos="1985"/>
        </w:tabs>
        <w:spacing w:before="120" w:after="120" w:line="288" w:lineRule="auto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Tablica i grafikon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1.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Upisane pokretnine i prava u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Upisniku u razdoblju od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2006. do </w:t>
      </w:r>
      <w:r w:rsidR="0049627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30. </w:t>
      </w:r>
      <w:r w:rsidR="005937B1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rujna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2017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 g</w:t>
      </w:r>
      <w:r w:rsid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odine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3081" w:type="dxa"/>
        <w:tblInd w:w="93" w:type="dxa"/>
        <w:tblLook w:val="04A0" w:firstRow="1" w:lastRow="0" w:firstColumn="1" w:lastColumn="0" w:noHBand="0" w:noVBand="1"/>
      </w:tblPr>
      <w:tblGrid>
        <w:gridCol w:w="2142"/>
        <w:gridCol w:w="939"/>
      </w:tblGrid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O</w:t>
            </w:r>
            <w:r w:rsidR="00D3194F"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stale pokretnine i prava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23676B" w:rsidRPr="009C35F6" w:rsidRDefault="00627404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322.145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FF003B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Vozila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627404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179.035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Računala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96276" w:rsidP="00627404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98.</w:t>
            </w:r>
            <w:r w:rsidR="006274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139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Strojevi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627404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56.386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Stado/stoka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627404" w:rsidP="0049627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50.269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Poljoprivredni urod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627404" w:rsidP="00627404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7.460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Udjeli i poslovni udjeli 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96276" w:rsidP="00627404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</w:t>
            </w:r>
            <w:r w:rsidR="006274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97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Ukupnost stvari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4337E" w:rsidP="00627404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</w:t>
            </w:r>
            <w:r w:rsidR="0049627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</w:t>
            </w:r>
            <w:r w:rsidR="006274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65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Dionice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D3194F" w:rsidP="0049627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</w:t>
            </w:r>
            <w:r w:rsidR="0049627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Patenti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D3194F" w:rsidP="00FF003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C77D8" w:rsidRPr="009C35F6" w:rsidRDefault="00627404" w:rsidP="007B68E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723.292</w:t>
            </w:r>
          </w:p>
        </w:tc>
      </w:tr>
    </w:tbl>
    <w:p w:rsidR="00AC3D8E" w:rsidRDefault="00E944D9" w:rsidP="00FF003B">
      <w:pPr>
        <w:spacing w:before="60" w:after="0" w:line="288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inline distT="0" distB="0" distL="0" distR="0" wp14:anchorId="0B679688" wp14:editId="3868AC53">
            <wp:extent cx="4324350" cy="2466975"/>
            <wp:effectExtent l="0" t="0" r="19050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3A24" w:rsidRDefault="005F3A24" w:rsidP="005F3A24">
      <w:pPr>
        <w:spacing w:before="60" w:after="0" w:line="288" w:lineRule="auto"/>
        <w:jc w:val="both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Izvor: Financijska agencija, </w:t>
      </w:r>
      <w:r>
        <w:rPr>
          <w:rFonts w:ascii="Arial" w:eastAsia="Times New Roman" w:hAnsi="Arial" w:cs="Arial"/>
          <w:i/>
          <w:color w:val="244061" w:themeColor="accent1" w:themeShade="80"/>
          <w:sz w:val="19"/>
          <w:szCs w:val="19"/>
          <w:lang w:eastAsia="hr-HR"/>
        </w:rPr>
        <w:t>Upisnik založnih prava</w:t>
      </w:r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Jednostavnom pretragom na on-</w:t>
      </w:r>
      <w:proofErr w:type="spellStart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line</w:t>
      </w:r>
      <w:proofErr w:type="spellEnd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tražilici moguće je pretra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žiti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e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pod određenim kriterijima. Također je na 22 upisnička mjesta moguće obaviti i besplatan uvid te zatražiti izvadak ili prijepis iz zbirke isprava. </w:t>
      </w:r>
      <w:hyperlink r:id="rId9" w:history="1"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Više o tome na 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WEB </w:t>
        </w:r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stranici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 Fine .</w:t>
        </w:r>
      </w:hyperlink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 2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2014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Financijska agencija uvela je novu uslugu „FINA Info šasija“ koja se odnosi na informaciju o statusu upisa tereta na vozilima u Upisniku. 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Slanjem SMS poruke na broj 818058 s brojem šasije automobila, korisnik će dobiti informaciju postoji li terećenje u Upisniku za navedeni automobil.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 razdoblju od 2</w:t>
      </w:r>
      <w:r w:rsidR="007735CA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2014.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do </w:t>
      </w:r>
      <w:r w:rsidR="0049627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30. </w:t>
      </w:r>
      <w:r w:rsidR="005937B1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rujna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2017</w:t>
      </w:r>
      <w:r w:rsidR="00CD7170" w:rsidRPr="00CD7170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poslano je </w:t>
      </w:r>
      <w:r w:rsidR="0083785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35.359</w:t>
      </w:r>
      <w:r w:rsidR="00B349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poruka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hyperlink r:id="rId10" w:history="1"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Više na WEB stranici Fine .</w:t>
        </w:r>
      </w:hyperlink>
    </w:p>
    <w:sectPr w:rsidR="00461F6D" w:rsidRPr="009C35F6" w:rsidSect="00F35753">
      <w:headerReference w:type="default" r:id="rId11"/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0B" w:rsidRDefault="00CC590B" w:rsidP="00FF003B">
      <w:pPr>
        <w:spacing w:after="0" w:line="240" w:lineRule="auto"/>
      </w:pPr>
      <w:r>
        <w:separator/>
      </w:r>
    </w:p>
  </w:endnote>
  <w:endnote w:type="continuationSeparator" w:id="0">
    <w:p w:rsidR="00CC590B" w:rsidRDefault="00CC590B" w:rsidP="00FF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0B" w:rsidRDefault="00CC590B" w:rsidP="00FF003B">
      <w:pPr>
        <w:spacing w:after="0" w:line="240" w:lineRule="auto"/>
      </w:pPr>
      <w:r>
        <w:separator/>
      </w:r>
    </w:p>
  </w:footnote>
  <w:footnote w:type="continuationSeparator" w:id="0">
    <w:p w:rsidR="00CC590B" w:rsidRDefault="00CC590B" w:rsidP="00FF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3B" w:rsidRDefault="00FF003B">
    <w:pPr>
      <w:pStyle w:val="Zaglavlje"/>
    </w:pPr>
    <w:r>
      <w:rPr>
        <w:noProof/>
        <w:lang w:eastAsia="hr-HR"/>
      </w:rPr>
      <w:drawing>
        <wp:inline distT="0" distB="0" distL="0" distR="0" wp14:anchorId="30E8E3F7" wp14:editId="717E4641">
          <wp:extent cx="1485265" cy="358140"/>
          <wp:effectExtent l="0" t="0" r="635" b="3810"/>
          <wp:docPr id="2" name="Picture 2" descr="fi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B2"/>
    <w:rsid w:val="000018DC"/>
    <w:rsid w:val="000375CE"/>
    <w:rsid w:val="00063EA7"/>
    <w:rsid w:val="00077AEE"/>
    <w:rsid w:val="000B0BB3"/>
    <w:rsid w:val="000B409A"/>
    <w:rsid w:val="000D0CC2"/>
    <w:rsid w:val="00132E0C"/>
    <w:rsid w:val="00140512"/>
    <w:rsid w:val="0017568F"/>
    <w:rsid w:val="00183D5A"/>
    <w:rsid w:val="001A25DB"/>
    <w:rsid w:val="001C0824"/>
    <w:rsid w:val="001D53FE"/>
    <w:rsid w:val="001E0AF7"/>
    <w:rsid w:val="00204D4C"/>
    <w:rsid w:val="002225FC"/>
    <w:rsid w:val="002345FB"/>
    <w:rsid w:val="0023676B"/>
    <w:rsid w:val="0024337E"/>
    <w:rsid w:val="00254E17"/>
    <w:rsid w:val="002E2B9D"/>
    <w:rsid w:val="002E7775"/>
    <w:rsid w:val="00303B45"/>
    <w:rsid w:val="00313855"/>
    <w:rsid w:val="00314C15"/>
    <w:rsid w:val="00320535"/>
    <w:rsid w:val="00346FE2"/>
    <w:rsid w:val="00375918"/>
    <w:rsid w:val="003B3B83"/>
    <w:rsid w:val="003C6343"/>
    <w:rsid w:val="003E45BD"/>
    <w:rsid w:val="003F51C9"/>
    <w:rsid w:val="00401E35"/>
    <w:rsid w:val="00453B09"/>
    <w:rsid w:val="00461F6D"/>
    <w:rsid w:val="004620F0"/>
    <w:rsid w:val="00480C73"/>
    <w:rsid w:val="004906DB"/>
    <w:rsid w:val="00496276"/>
    <w:rsid w:val="004D0C29"/>
    <w:rsid w:val="004D2F1D"/>
    <w:rsid w:val="00505962"/>
    <w:rsid w:val="005255EA"/>
    <w:rsid w:val="00531127"/>
    <w:rsid w:val="005566CC"/>
    <w:rsid w:val="005611FE"/>
    <w:rsid w:val="005737D2"/>
    <w:rsid w:val="005937B1"/>
    <w:rsid w:val="005C0F0D"/>
    <w:rsid w:val="005D6C3A"/>
    <w:rsid w:val="005E15DA"/>
    <w:rsid w:val="005F01A8"/>
    <w:rsid w:val="005F34E2"/>
    <w:rsid w:val="005F3A24"/>
    <w:rsid w:val="005F4CDC"/>
    <w:rsid w:val="005F6FA2"/>
    <w:rsid w:val="0060334F"/>
    <w:rsid w:val="0061160A"/>
    <w:rsid w:val="00623B7F"/>
    <w:rsid w:val="00627404"/>
    <w:rsid w:val="006365DC"/>
    <w:rsid w:val="00641446"/>
    <w:rsid w:val="0064451E"/>
    <w:rsid w:val="006B5AD2"/>
    <w:rsid w:val="006C5A1A"/>
    <w:rsid w:val="00722638"/>
    <w:rsid w:val="007563A4"/>
    <w:rsid w:val="00770B59"/>
    <w:rsid w:val="007735CA"/>
    <w:rsid w:val="007B68E6"/>
    <w:rsid w:val="007C1E0D"/>
    <w:rsid w:val="00802779"/>
    <w:rsid w:val="00837856"/>
    <w:rsid w:val="008629D7"/>
    <w:rsid w:val="00875CD6"/>
    <w:rsid w:val="008A3E7C"/>
    <w:rsid w:val="008D0EDE"/>
    <w:rsid w:val="008D3FB2"/>
    <w:rsid w:val="008F1FC3"/>
    <w:rsid w:val="00903589"/>
    <w:rsid w:val="00907021"/>
    <w:rsid w:val="00936E6A"/>
    <w:rsid w:val="00955015"/>
    <w:rsid w:val="00960033"/>
    <w:rsid w:val="0099475C"/>
    <w:rsid w:val="009C35F6"/>
    <w:rsid w:val="009E45DC"/>
    <w:rsid w:val="009F0525"/>
    <w:rsid w:val="00A264F2"/>
    <w:rsid w:val="00A6697E"/>
    <w:rsid w:val="00A760A6"/>
    <w:rsid w:val="00AC3D8E"/>
    <w:rsid w:val="00AC77D8"/>
    <w:rsid w:val="00B17A51"/>
    <w:rsid w:val="00B34924"/>
    <w:rsid w:val="00B567C8"/>
    <w:rsid w:val="00BC6AF7"/>
    <w:rsid w:val="00BD02F4"/>
    <w:rsid w:val="00BD2767"/>
    <w:rsid w:val="00BF1108"/>
    <w:rsid w:val="00BF2C59"/>
    <w:rsid w:val="00C57943"/>
    <w:rsid w:val="00C9024E"/>
    <w:rsid w:val="00CA1EE0"/>
    <w:rsid w:val="00CB08E1"/>
    <w:rsid w:val="00CC590B"/>
    <w:rsid w:val="00CD7170"/>
    <w:rsid w:val="00CE411F"/>
    <w:rsid w:val="00CF4D96"/>
    <w:rsid w:val="00D15092"/>
    <w:rsid w:val="00D3194F"/>
    <w:rsid w:val="00D37BBE"/>
    <w:rsid w:val="00D65C2C"/>
    <w:rsid w:val="00D80D66"/>
    <w:rsid w:val="00D82B62"/>
    <w:rsid w:val="00DA31C8"/>
    <w:rsid w:val="00DA56D8"/>
    <w:rsid w:val="00DE601F"/>
    <w:rsid w:val="00E01148"/>
    <w:rsid w:val="00E14164"/>
    <w:rsid w:val="00E1590F"/>
    <w:rsid w:val="00E1749D"/>
    <w:rsid w:val="00E24BC7"/>
    <w:rsid w:val="00E3076B"/>
    <w:rsid w:val="00E36D0C"/>
    <w:rsid w:val="00E532F2"/>
    <w:rsid w:val="00E66560"/>
    <w:rsid w:val="00E944D9"/>
    <w:rsid w:val="00EA4C7E"/>
    <w:rsid w:val="00EA70A7"/>
    <w:rsid w:val="00ED6FC1"/>
    <w:rsid w:val="00ED7E39"/>
    <w:rsid w:val="00EE1265"/>
    <w:rsid w:val="00F12547"/>
    <w:rsid w:val="00F14C2B"/>
    <w:rsid w:val="00F156B9"/>
    <w:rsid w:val="00F3064D"/>
    <w:rsid w:val="00F35753"/>
    <w:rsid w:val="00F45C24"/>
    <w:rsid w:val="00F80571"/>
    <w:rsid w:val="00F863CC"/>
    <w:rsid w:val="00F9593B"/>
    <w:rsid w:val="00FC6BD5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.hr/Default.aspx?sec=1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loznaprava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348004860914584"/>
          <c:y val="7.2775767893878129E-2"/>
          <c:w val="0.63077664851364945"/>
          <c:h val="0.8241969820425951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solidFill>
                <a:schemeClr val="accent4">
                  <a:lumMod val="50000"/>
                </a:schemeClr>
              </a:solidFill>
            </a:ln>
          </c:spPr>
          <c:invertIfNegative val="0"/>
          <c:cat>
            <c:strRef>
              <c:f>List3!$A$4:$A$13</c:f>
              <c:strCache>
                <c:ptCount val="10"/>
                <c:pt idx="0">
                  <c:v>ostale pokretnine i prava</c:v>
                </c:pt>
                <c:pt idx="1">
                  <c:v>vozila</c:v>
                </c:pt>
                <c:pt idx="2">
                  <c:v>računala</c:v>
                </c:pt>
                <c:pt idx="3">
                  <c:v>strojevi</c:v>
                </c:pt>
                <c:pt idx="4">
                  <c:v>stado/stoka</c:v>
                </c:pt>
                <c:pt idx="5">
                  <c:v>poljoprivredni urod</c:v>
                </c:pt>
                <c:pt idx="6">
                  <c:v>udjeli i poslovni udjeli </c:v>
                </c:pt>
                <c:pt idx="7">
                  <c:v>ukupnost stvari</c:v>
                </c:pt>
                <c:pt idx="8">
                  <c:v>dionice</c:v>
                </c:pt>
                <c:pt idx="9">
                  <c:v>patenti</c:v>
                </c:pt>
              </c:strCache>
            </c:strRef>
          </c:cat>
          <c:val>
            <c:numRef>
              <c:f>List3!$D$4:$D$13</c:f>
              <c:numCache>
                <c:formatCode>#,##0</c:formatCode>
                <c:ptCount val="10"/>
                <c:pt idx="0">
                  <c:v>322145</c:v>
                </c:pt>
                <c:pt idx="1">
                  <c:v>179035</c:v>
                </c:pt>
                <c:pt idx="2">
                  <c:v>98139</c:v>
                </c:pt>
                <c:pt idx="3">
                  <c:v>56386</c:v>
                </c:pt>
                <c:pt idx="4">
                  <c:v>50269</c:v>
                </c:pt>
                <c:pt idx="5">
                  <c:v>7460</c:v>
                </c:pt>
                <c:pt idx="6">
                  <c:v>6976</c:v>
                </c:pt>
                <c:pt idx="7">
                  <c:v>2865</c:v>
                </c:pt>
                <c:pt idx="8">
                  <c:v>13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431040"/>
        <c:axId val="257738624"/>
      </c:barChart>
      <c:catAx>
        <c:axId val="2574310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257738624"/>
        <c:crosses val="autoZero"/>
        <c:auto val="1"/>
        <c:lblAlgn val="ctr"/>
        <c:lblOffset val="100"/>
        <c:noMultiLvlLbl val="0"/>
      </c:catAx>
      <c:valAx>
        <c:axId val="257738624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spPr>
          <a:ln w="3175">
            <a:solidFill>
              <a:schemeClr val="bg1">
                <a:lumMod val="75000"/>
              </a:schemeClr>
            </a:solidFill>
          </a:ln>
        </c:spPr>
        <c:txPr>
          <a:bodyPr/>
          <a:lstStyle/>
          <a:p>
            <a:pPr>
              <a:defRPr sz="700" baseline="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257431040"/>
        <c:crosses val="autoZero"/>
        <c:crossBetween val="between"/>
        <c:majorUnit val="50000"/>
      </c:valAx>
      <c:spPr>
        <a:gradFill flip="none" rotWithShape="1">
          <a:gsLst>
            <a:gs pos="0">
              <a:srgbClr val="8488C4">
                <a:lumMod val="57000"/>
                <a:lumOff val="43000"/>
              </a:srgbClr>
            </a:gs>
            <a:gs pos="53000">
              <a:srgbClr val="D4DEFF">
                <a:lumMod val="29000"/>
                <a:lumOff val="71000"/>
              </a:srgbClr>
            </a:gs>
            <a:gs pos="83000">
              <a:srgbClr val="D4DEFF">
                <a:lumMod val="16000"/>
                <a:lumOff val="84000"/>
              </a:srgbClr>
            </a:gs>
            <a:gs pos="100000">
              <a:srgbClr val="96AB94">
                <a:lumMod val="32000"/>
                <a:lumOff val="68000"/>
              </a:srgbClr>
            </a:gs>
          </a:gsLst>
          <a:lin ang="16200000" scaled="1"/>
          <a:tileRect/>
        </a:gradFill>
        <a:ln>
          <a:solidFill>
            <a:schemeClr val="bg1">
              <a:lumMod val="75000"/>
            </a:schemeClr>
          </a:solidFill>
        </a:ln>
      </c:spPr>
    </c:plotArea>
    <c:plotVisOnly val="1"/>
    <c:dispBlanksAs val="gap"/>
    <c:showDLblsOverMax val="0"/>
  </c:chart>
  <c:spPr>
    <a:gradFill>
      <a:gsLst>
        <a:gs pos="0">
          <a:srgbClr val="8488C4">
            <a:lumMod val="57000"/>
            <a:lumOff val="43000"/>
          </a:srgbClr>
        </a:gs>
        <a:gs pos="53000">
          <a:srgbClr val="D4DEFF">
            <a:lumMod val="29000"/>
            <a:lumOff val="71000"/>
          </a:srgbClr>
        </a:gs>
        <a:gs pos="83000">
          <a:srgbClr val="D4DEFF">
            <a:lumMod val="16000"/>
            <a:lumOff val="84000"/>
          </a:srgbClr>
        </a:gs>
        <a:gs pos="100000">
          <a:srgbClr val="96AB94">
            <a:lumMod val="32000"/>
            <a:lumOff val="68000"/>
          </a:srgbClr>
        </a:gs>
      </a:gsLst>
      <a:lin ang="5400000" scaled="0"/>
    </a:gradFill>
    <a:ln w="3175">
      <a:solidFill>
        <a:schemeClr val="tx2">
          <a:lumMod val="50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B7AA-A97A-4779-8A31-96BA672E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Bižić</dc:creator>
  <cp:lastModifiedBy>Vesna Koščak</cp:lastModifiedBy>
  <cp:revision>4</cp:revision>
  <cp:lastPrinted>2015-06-09T05:57:00Z</cp:lastPrinted>
  <dcterms:created xsi:type="dcterms:W3CDTF">2017-10-13T06:26:00Z</dcterms:created>
  <dcterms:modified xsi:type="dcterms:W3CDTF">2017-10-13T07:38:00Z</dcterms:modified>
</cp:coreProperties>
</file>